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AA9" w:rsidRPr="0000685A" w:rsidRDefault="00D30AA9" w:rsidP="00D30AA9">
      <w:pPr>
        <w:pStyle w:val="2"/>
        <w:spacing w:before="0" w:after="0"/>
        <w:rPr>
          <w:b w:val="0"/>
        </w:rPr>
      </w:pPr>
      <w:bookmarkStart w:id="0" w:name="_Toc242110741"/>
      <w:r w:rsidRPr="0000685A">
        <w:rPr>
          <w:b w:val="0"/>
        </w:rPr>
        <w:t>Annex No. 17 to Membership Rules</w:t>
      </w:r>
      <w:bookmarkEnd w:id="0"/>
      <w:r w:rsidRPr="0000685A">
        <w:rPr>
          <w:b w:val="0"/>
        </w:rPr>
        <w:t xml:space="preserve"> </w:t>
      </w:r>
    </w:p>
    <w:p w:rsidR="00D30AA9" w:rsidRPr="0000685A" w:rsidRDefault="00D30AA9" w:rsidP="00D30AA9">
      <w:pPr>
        <w:pStyle w:val="TableParagraph"/>
        <w:tabs>
          <w:tab w:val="left" w:pos="993"/>
          <w:tab w:val="left" w:pos="1134"/>
        </w:tabs>
        <w:spacing w:line="276" w:lineRule="auto"/>
        <w:ind w:left="107" w:firstLine="19"/>
        <w:jc w:val="right"/>
        <w:rPr>
          <w:rFonts w:ascii="Arial" w:hAnsi="Arial" w:cs="Arial"/>
          <w:bCs/>
          <w:color w:val="000000" w:themeColor="text1"/>
          <w:sz w:val="20"/>
          <w:szCs w:val="20"/>
          <w:lang w:val="en"/>
        </w:rPr>
      </w:pPr>
      <w:r w:rsidRPr="0000685A">
        <w:rPr>
          <w:rFonts w:ascii="Arial" w:hAnsi="Arial" w:cs="Arial"/>
          <w:bCs/>
          <w:color w:val="000000" w:themeColor="text1"/>
          <w:sz w:val="20"/>
          <w:szCs w:val="20"/>
          <w:lang w:val="en"/>
        </w:rPr>
        <w:t>of Private company “International Trading System Limited”</w:t>
      </w:r>
    </w:p>
    <w:p w:rsidR="00D30AA9" w:rsidRPr="00DA440E" w:rsidRDefault="00D30AA9" w:rsidP="00D30AA9">
      <w:pPr>
        <w:jc w:val="both"/>
        <w:rPr>
          <w:rFonts w:ascii="Arial" w:hAnsi="Arial" w:cs="Arial"/>
          <w:sz w:val="20"/>
          <w:szCs w:val="20"/>
          <w:lang w:val="en-US"/>
        </w:rPr>
      </w:pPr>
    </w:p>
    <w:p w:rsidR="00D30AA9" w:rsidRPr="00A861A4" w:rsidRDefault="00D30AA9" w:rsidP="00D30AA9">
      <w:pPr>
        <w:rPr>
          <w:lang w:val="en-US"/>
        </w:rPr>
      </w:pPr>
    </w:p>
    <w:p w:rsidR="00D30AA9" w:rsidRPr="00DA440E" w:rsidRDefault="00D30AA9" w:rsidP="00D30AA9">
      <w:pPr>
        <w:spacing w:before="62"/>
        <w:rPr>
          <w:rFonts w:ascii="Arial" w:hAnsi="Arial" w:cs="Arial"/>
          <w:i/>
          <w:sz w:val="20"/>
          <w:szCs w:val="20"/>
          <w:lang w:val="en-US"/>
        </w:rPr>
      </w:pPr>
      <w:r w:rsidRPr="00DA440E">
        <w:rPr>
          <w:rFonts w:ascii="Arial" w:hAnsi="Arial" w:cs="Arial"/>
          <w:i/>
          <w:sz w:val="20"/>
          <w:szCs w:val="20"/>
          <w:lang w:val="en"/>
        </w:rPr>
        <w:t>Application shall be submitted on the Clearing Member's letterhead</w:t>
      </w:r>
    </w:p>
    <w:p w:rsidR="00D30AA9" w:rsidRPr="00FD0301" w:rsidRDefault="00D30AA9" w:rsidP="00D30AA9">
      <w:pPr>
        <w:pStyle w:val="TableParagraph"/>
        <w:tabs>
          <w:tab w:val="left" w:pos="993"/>
          <w:tab w:val="left" w:pos="1134"/>
        </w:tabs>
        <w:spacing w:line="276" w:lineRule="auto"/>
        <w:ind w:left="107" w:firstLine="19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</w:pPr>
    </w:p>
    <w:p w:rsidR="00D30AA9" w:rsidRDefault="00D30AA9" w:rsidP="00D30AA9">
      <w:pPr>
        <w:pStyle w:val="TableParagraph"/>
        <w:tabs>
          <w:tab w:val="left" w:pos="993"/>
          <w:tab w:val="left" w:pos="1134"/>
        </w:tabs>
        <w:spacing w:line="276" w:lineRule="auto"/>
        <w:ind w:left="107" w:firstLine="19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</w:pPr>
      <w:r w:rsidRPr="00802A67"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  <w:t>Application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  <w:t xml:space="preserve"> </w:t>
      </w:r>
      <w:r w:rsidRPr="00802A67"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  <w:t xml:space="preserve">for Admission </w:t>
      </w:r>
    </w:p>
    <w:p w:rsidR="00D30AA9" w:rsidRPr="00802A67" w:rsidRDefault="00D30AA9" w:rsidP="00D30AA9">
      <w:pPr>
        <w:pStyle w:val="TableParagraph"/>
        <w:tabs>
          <w:tab w:val="left" w:pos="993"/>
          <w:tab w:val="left" w:pos="1134"/>
        </w:tabs>
        <w:spacing w:line="276" w:lineRule="auto"/>
        <w:ind w:left="107" w:firstLine="19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</w:pPr>
      <w:r w:rsidRPr="00802A67">
        <w:rPr>
          <w:rFonts w:ascii="Arial" w:hAnsi="Arial" w:cs="Arial"/>
          <w:b/>
          <w:bCs/>
          <w:color w:val="000000" w:themeColor="text1"/>
          <w:sz w:val="20"/>
          <w:szCs w:val="20"/>
          <w:lang w:val="en"/>
        </w:rPr>
        <w:t>of Member's Clients to Derivatives Trading</w:t>
      </w:r>
    </w:p>
    <w:p w:rsidR="00D30AA9" w:rsidRDefault="00D30AA9" w:rsidP="00D30AA9">
      <w:pPr>
        <w:pStyle w:val="a6"/>
        <w:rPr>
          <w:rFonts w:ascii="Arial" w:hAnsi="Arial" w:cs="Arial"/>
          <w:bCs/>
          <w:sz w:val="20"/>
          <w:szCs w:val="20"/>
          <w:lang w:val="en-US"/>
        </w:rPr>
      </w:pPr>
    </w:p>
    <w:p w:rsidR="00D30AA9" w:rsidRPr="00FE3F96" w:rsidRDefault="00D30AA9" w:rsidP="00D30AA9">
      <w:pPr>
        <w:pStyle w:val="a6"/>
        <w:jc w:val="center"/>
        <w:rPr>
          <w:rFonts w:ascii="Arial" w:hAnsi="Arial" w:cs="Arial"/>
          <w:i/>
          <w:sz w:val="20"/>
          <w:szCs w:val="20"/>
          <w:lang w:val="en-US"/>
        </w:rPr>
      </w:pPr>
      <w:r w:rsidRPr="00FE3F96">
        <w:rPr>
          <w:rFonts w:ascii="Arial" w:hAnsi="Arial" w:cs="Arial"/>
          <w:bCs/>
          <w:i/>
          <w:sz w:val="20"/>
          <w:szCs w:val="20"/>
          <w:lang w:val="en-US"/>
        </w:rPr>
        <w:t>(Please note that this document must be provided only by entities incorporated in the AIFC or the Republic of Kazakhstan)</w:t>
      </w:r>
    </w:p>
    <w:p w:rsidR="00D30AA9" w:rsidRDefault="00D30AA9" w:rsidP="00D30AA9">
      <w:pPr>
        <w:pStyle w:val="a6"/>
        <w:rPr>
          <w:rFonts w:ascii="Arial" w:hAnsi="Arial" w:cs="Arial"/>
          <w:bCs/>
          <w:sz w:val="20"/>
          <w:szCs w:val="20"/>
          <w:lang w:val="en-US"/>
        </w:rPr>
      </w:pPr>
    </w:p>
    <w:p w:rsidR="00D30AA9" w:rsidRDefault="00D30AA9" w:rsidP="00D30AA9">
      <w:pPr>
        <w:pStyle w:val="a6"/>
        <w:rPr>
          <w:rFonts w:ascii="Arial" w:hAnsi="Arial" w:cs="Arial"/>
          <w:bCs/>
          <w:sz w:val="20"/>
          <w:szCs w:val="20"/>
          <w:lang w:val="en-US"/>
        </w:rPr>
      </w:pPr>
    </w:p>
    <w:p w:rsidR="00D30AA9" w:rsidRDefault="00D30AA9" w:rsidP="00D30AA9">
      <w:pPr>
        <w:pStyle w:val="a6"/>
        <w:rPr>
          <w:rFonts w:ascii="Arial" w:hAnsi="Arial" w:cs="Arial"/>
          <w:bCs/>
          <w:sz w:val="20"/>
          <w:szCs w:val="20"/>
          <w:lang w:val="en-US"/>
        </w:rPr>
      </w:pPr>
    </w:p>
    <w:p w:rsidR="00D30AA9" w:rsidRDefault="00D30AA9" w:rsidP="00D30AA9">
      <w:pPr>
        <w:pStyle w:val="a6"/>
        <w:jc w:val="right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 xml:space="preserve">to: </w:t>
      </w:r>
      <w:r w:rsidRPr="00FE3F96">
        <w:rPr>
          <w:rFonts w:ascii="Arial" w:hAnsi="Arial" w:cs="Arial"/>
          <w:bCs/>
          <w:sz w:val="20"/>
          <w:szCs w:val="20"/>
          <w:lang w:val="en-US"/>
        </w:rPr>
        <w:t>Inter</w:t>
      </w:r>
      <w:r>
        <w:rPr>
          <w:rFonts w:ascii="Arial" w:hAnsi="Arial" w:cs="Arial"/>
          <w:bCs/>
          <w:sz w:val="20"/>
          <w:szCs w:val="20"/>
          <w:lang w:val="en-US"/>
        </w:rPr>
        <w:t>national Trading System Limited</w:t>
      </w:r>
    </w:p>
    <w:p w:rsidR="00D30AA9" w:rsidRPr="00FE3F96" w:rsidRDefault="00D30AA9" w:rsidP="00D30AA9">
      <w:pPr>
        <w:pStyle w:val="a6"/>
        <w:jc w:val="right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  <w:r w:rsidRPr="00FE3F96">
        <w:rPr>
          <w:rFonts w:ascii="Arial" w:hAnsi="Arial" w:cs="Arial"/>
          <w:sz w:val="20"/>
          <w:szCs w:val="20"/>
          <w:lang w:val="en-US"/>
        </w:rPr>
        <w:t xml:space="preserve">We hereby </w:t>
      </w:r>
      <w:r>
        <w:rPr>
          <w:rFonts w:ascii="Arial" w:hAnsi="Arial" w:cs="Arial"/>
          <w:sz w:val="20"/>
          <w:szCs w:val="20"/>
          <w:lang w:val="en-US"/>
        </w:rPr>
        <w:t>ask you to</w:t>
      </w:r>
      <w:r w:rsidRPr="00FE3F96">
        <w:rPr>
          <w:rFonts w:ascii="Arial" w:hAnsi="Arial" w:cs="Arial"/>
          <w:sz w:val="20"/>
          <w:szCs w:val="20"/>
          <w:lang w:val="en-US"/>
        </w:rPr>
        <w:t xml:space="preserve"> admi</w:t>
      </w:r>
      <w:r>
        <w:rPr>
          <w:rFonts w:ascii="Arial" w:hAnsi="Arial" w:cs="Arial"/>
          <w:sz w:val="20"/>
          <w:szCs w:val="20"/>
          <w:lang w:val="en-US"/>
        </w:rPr>
        <w:t>t</w:t>
      </w:r>
      <w:r w:rsidRPr="00FE3F96">
        <w:rPr>
          <w:rFonts w:ascii="Arial" w:hAnsi="Arial" w:cs="Arial"/>
          <w:sz w:val="20"/>
          <w:szCs w:val="20"/>
          <w:lang w:val="en-US"/>
        </w:rPr>
        <w:t xml:space="preserve"> all of our clients to Derivatives Trading and confirm that, when entering into transactions with derivative financial instruments, we independently verify whether the client holds the status of a Professional Client (as defined in the AFSA Glossary</w:t>
      </w:r>
      <w:r>
        <w:rPr>
          <w:rStyle w:val="a5"/>
          <w:rFonts w:ascii="Arial" w:hAnsi="Arial" w:cs="Arial"/>
          <w:sz w:val="20"/>
          <w:szCs w:val="20"/>
          <w:lang w:val="en-US"/>
        </w:rPr>
        <w:endnoteReference w:id="1"/>
      </w:r>
      <w:r w:rsidRPr="00FE3F96">
        <w:rPr>
          <w:rFonts w:ascii="Arial" w:hAnsi="Arial" w:cs="Arial"/>
          <w:sz w:val="20"/>
          <w:szCs w:val="20"/>
          <w:lang w:val="en-US"/>
        </w:rPr>
        <w:t>) or a Semi-Professional Client (as defined in AFSA Notice No. AFSA-FTD-NOT-2026-0025</w:t>
      </w:r>
      <w:r>
        <w:rPr>
          <w:rStyle w:val="a5"/>
          <w:rFonts w:ascii="Arial" w:hAnsi="Arial" w:cs="Arial"/>
          <w:sz w:val="20"/>
          <w:szCs w:val="20"/>
          <w:lang w:val="en-US"/>
        </w:rPr>
        <w:endnoteReference w:id="2"/>
      </w:r>
      <w:r w:rsidRPr="00FE3F96">
        <w:rPr>
          <w:rFonts w:ascii="Arial" w:hAnsi="Arial" w:cs="Arial"/>
          <w:sz w:val="20"/>
          <w:szCs w:val="20"/>
          <w:lang w:val="en-US"/>
        </w:rPr>
        <w:t xml:space="preserve">), and we ensure compliance with the restrictions established by the AFSA. </w:t>
      </w:r>
      <w:r>
        <w:rPr>
          <w:rFonts w:ascii="Arial" w:hAnsi="Arial" w:cs="Arial"/>
          <w:sz w:val="20"/>
          <w:szCs w:val="20"/>
          <w:lang w:val="en-US"/>
        </w:rPr>
        <w:t>Additionally, w</w:t>
      </w:r>
      <w:r w:rsidRPr="00FE3F96">
        <w:rPr>
          <w:rFonts w:ascii="Arial" w:hAnsi="Arial" w:cs="Arial"/>
          <w:sz w:val="20"/>
          <w:szCs w:val="20"/>
          <w:lang w:val="en-US"/>
        </w:rPr>
        <w:t>e confirm that Private Company "International Trading System Limited" bears no liability for any breach of such restrictions.</w:t>
      </w: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D30AA9" w:rsidRDefault="00D30AA9" w:rsidP="00D30AA9">
      <w:pPr>
        <w:pStyle w:val="a6"/>
        <w:ind w:firstLine="709"/>
        <w:rPr>
          <w:rFonts w:ascii="Arial" w:hAnsi="Arial" w:cs="Arial"/>
          <w:sz w:val="20"/>
          <w:szCs w:val="20"/>
          <w:lang w:val="en-US"/>
        </w:rPr>
      </w:pPr>
    </w:p>
    <w:p w:rsidR="00910EB1" w:rsidRPr="00D30AA9" w:rsidRDefault="00910EB1">
      <w:pPr>
        <w:rPr>
          <w:lang w:val="en-US"/>
        </w:rPr>
      </w:pPr>
      <w:bookmarkStart w:id="1" w:name="_GoBack"/>
      <w:bookmarkEnd w:id="1"/>
    </w:p>
    <w:sectPr w:rsidR="00910EB1" w:rsidRPr="00D30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359" w:rsidRDefault="00F33359" w:rsidP="00D30AA9">
      <w:r>
        <w:separator/>
      </w:r>
    </w:p>
  </w:endnote>
  <w:endnote w:type="continuationSeparator" w:id="0">
    <w:p w:rsidR="00F33359" w:rsidRDefault="00F33359" w:rsidP="00D30AA9">
      <w:r>
        <w:continuationSeparator/>
      </w:r>
    </w:p>
  </w:endnote>
  <w:endnote w:id="1">
    <w:p w:rsidR="00D30AA9" w:rsidRPr="0000685A" w:rsidRDefault="00D30AA9" w:rsidP="00D30AA9">
      <w:pPr>
        <w:pStyle w:val="a3"/>
        <w:rPr>
          <w:rFonts w:ascii="Arial" w:hAnsi="Arial" w:cs="Arial"/>
          <w:sz w:val="16"/>
          <w:szCs w:val="16"/>
        </w:rPr>
      </w:pPr>
      <w:r w:rsidRPr="0000685A">
        <w:rPr>
          <w:rStyle w:val="a5"/>
          <w:rFonts w:ascii="Arial" w:hAnsi="Arial" w:cs="Arial"/>
          <w:sz w:val="16"/>
          <w:szCs w:val="16"/>
        </w:rPr>
        <w:endnoteRef/>
      </w:r>
      <w:r w:rsidRPr="0000685A">
        <w:rPr>
          <w:rFonts w:ascii="Arial" w:hAnsi="Arial" w:cs="Arial"/>
          <w:sz w:val="16"/>
          <w:szCs w:val="16"/>
        </w:rPr>
        <w:t xml:space="preserve"> </w:t>
      </w:r>
      <w:hyperlink r:id="rId1" w:history="1">
        <w:r w:rsidRPr="0000685A">
          <w:rPr>
            <w:rStyle w:val="a4"/>
            <w:rFonts w:ascii="Arial" w:hAnsi="Arial" w:cs="Arial"/>
            <w:sz w:val="16"/>
            <w:szCs w:val="16"/>
          </w:rPr>
          <w:t>https://orderly.myafsa.com/articles/2.-interpretation_1</w:t>
        </w:r>
      </w:hyperlink>
    </w:p>
  </w:endnote>
  <w:endnote w:id="2">
    <w:p w:rsidR="00D30AA9" w:rsidRDefault="00D30AA9" w:rsidP="00D30AA9">
      <w:pPr>
        <w:pStyle w:val="a3"/>
      </w:pPr>
      <w:r w:rsidRPr="0000685A">
        <w:rPr>
          <w:rStyle w:val="a5"/>
          <w:rFonts w:ascii="Arial" w:hAnsi="Arial" w:cs="Arial"/>
          <w:sz w:val="16"/>
          <w:szCs w:val="16"/>
        </w:rPr>
        <w:endnoteRef/>
      </w:r>
      <w:r w:rsidRPr="0000685A">
        <w:rPr>
          <w:rFonts w:ascii="Arial" w:hAnsi="Arial" w:cs="Arial"/>
          <w:sz w:val="16"/>
          <w:szCs w:val="16"/>
        </w:rPr>
        <w:t xml:space="preserve"> </w:t>
      </w:r>
      <w:hyperlink r:id="rId2" w:history="1">
        <w:r w:rsidRPr="0000685A">
          <w:rPr>
            <w:rStyle w:val="a4"/>
            <w:rFonts w:ascii="Arial" w:hAnsi="Arial" w:cs="Arial"/>
            <w:sz w:val="16"/>
            <w:szCs w:val="16"/>
          </w:rPr>
          <w:t>https://orderly.myafsa.com/articles/afsa-notice-no.-afsa-ftd-not-2026-0025-from-28-august-2026-on-astana-financial-services-authority's-expected-approach-to-event-based-contracts-in-the-aifc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359" w:rsidRDefault="00F33359" w:rsidP="00D30AA9">
      <w:r>
        <w:separator/>
      </w:r>
    </w:p>
  </w:footnote>
  <w:footnote w:type="continuationSeparator" w:id="0">
    <w:p w:rsidR="00F33359" w:rsidRDefault="00F33359" w:rsidP="00D30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A9"/>
    <w:rsid w:val="00910EB1"/>
    <w:rsid w:val="00D30AA9"/>
    <w:rsid w:val="00F3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73AFE-33A1-4CF6-AAA8-760E233CA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D30AA9"/>
    <w:pPr>
      <w:keepNext/>
      <w:autoSpaceDE w:val="0"/>
      <w:autoSpaceDN w:val="0"/>
      <w:spacing w:before="240" w:after="60"/>
      <w:jc w:val="right"/>
      <w:outlineLvl w:val="1"/>
    </w:pPr>
    <w:rPr>
      <w:rFonts w:ascii="Arial" w:hAnsi="Arial"/>
      <w:b/>
      <w:bCs/>
      <w:sz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D30AA9"/>
    <w:rPr>
      <w:rFonts w:ascii="Arial" w:eastAsia="Times New Roman" w:hAnsi="Arial" w:cs="Times New Roman"/>
      <w:b/>
      <w:bCs/>
      <w:sz w:val="20"/>
      <w:szCs w:val="24"/>
      <w:lang w:val="en-US" w:eastAsia="ru-RU"/>
    </w:rPr>
  </w:style>
  <w:style w:type="paragraph" w:customStyle="1" w:styleId="TableParagraph">
    <w:name w:val="Table Paragraph"/>
    <w:basedOn w:val="a"/>
    <w:uiPriority w:val="1"/>
    <w:qFormat/>
    <w:rsid w:val="00D30AA9"/>
    <w:pPr>
      <w:widowControl w:val="0"/>
      <w:autoSpaceDE w:val="0"/>
      <w:autoSpaceDN w:val="0"/>
      <w:ind w:left="69"/>
    </w:pPr>
    <w:rPr>
      <w:sz w:val="22"/>
      <w:szCs w:val="22"/>
      <w:lang w:eastAsia="en-US"/>
    </w:rPr>
  </w:style>
  <w:style w:type="paragraph" w:styleId="a3">
    <w:name w:val="endnote text"/>
    <w:basedOn w:val="a"/>
    <w:link w:val="a4"/>
    <w:uiPriority w:val="99"/>
    <w:semiHidden/>
    <w:unhideWhenUsed/>
    <w:rsid w:val="00D30AA9"/>
    <w:pPr>
      <w:widowControl w:val="0"/>
      <w:autoSpaceDE w:val="0"/>
      <w:autoSpaceDN w:val="0"/>
    </w:pPr>
    <w:rPr>
      <w:sz w:val="20"/>
      <w:szCs w:val="20"/>
      <w:lang w:eastAsia="en-US"/>
    </w:rPr>
  </w:style>
  <w:style w:type="character" w:customStyle="1" w:styleId="a4">
    <w:name w:val="Текст концевой сноски Знак"/>
    <w:basedOn w:val="a0"/>
    <w:link w:val="a3"/>
    <w:uiPriority w:val="99"/>
    <w:semiHidden/>
    <w:qFormat/>
    <w:rsid w:val="00D30AA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D30AA9"/>
    <w:rPr>
      <w:vertAlign w:val="superscript"/>
    </w:rPr>
  </w:style>
  <w:style w:type="paragraph" w:styleId="a6">
    <w:name w:val="Normal (Web)"/>
    <w:basedOn w:val="a"/>
    <w:uiPriority w:val="99"/>
    <w:unhideWhenUsed/>
    <w:rsid w:val="00D30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rderly.myafsa.com/articles/afsa-notice-no.-afsa-ftd-not-2026-0025-from-28-august-2026-on-astana-financial-services-authority's-expected-approach-to-event-based-contracts-in-the-aifc" TargetMode="External"/><Relationship Id="rId1" Type="http://schemas.openxmlformats.org/officeDocument/2006/relationships/hyperlink" Target="https://orderly.myafsa.com/articles/2.-interpretation_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Salida Saykenkyzy</dc:creator>
  <cp:keywords/>
  <dc:description/>
  <cp:lastModifiedBy>Salida Saykenkyzy</cp:lastModifiedBy>
  <cp:revision>1</cp:revision>
  <dcterms:created xsi:type="dcterms:W3CDTF">2026-10-06T07:01:00Z</dcterms:created>
  <dcterms:modified xsi:type="dcterms:W3CDTF">2026-10-06T07:01:00Z</dcterms:modified>
</cp:coreProperties>
</file>