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C7FB4" w14:textId="5EE89B46" w:rsidR="0035181B" w:rsidRPr="00F77772" w:rsidRDefault="0035181B" w:rsidP="006A7D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Fira Sans Light" w:eastAsia="Times New Roman" w:hAnsi="Fira Sans Light"/>
          <w:bCs/>
          <w:lang w:val="en-US" w:eastAsia="ru-RU"/>
        </w:rPr>
      </w:pPr>
    </w:p>
    <w:p w14:paraId="59DBEFC9" w14:textId="77777777" w:rsidR="0035181B" w:rsidRDefault="0035181B" w:rsidP="006A7D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Fira Sans Light" w:eastAsia="Times New Roman" w:hAnsi="Fira Sans Light"/>
          <w:b/>
          <w:lang w:val="en-US" w:eastAsia="ru-RU"/>
        </w:rPr>
      </w:pPr>
    </w:p>
    <w:p w14:paraId="19AFDD9B" w14:textId="403407A7" w:rsidR="00187AD8" w:rsidRPr="001825A7" w:rsidRDefault="00A473B5" w:rsidP="00FB3B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lang w:val="en-US" w:eastAsia="ru-RU"/>
        </w:rPr>
      </w:pPr>
      <w:r w:rsidRPr="00A473B5">
        <w:rPr>
          <w:rFonts w:ascii="Arial" w:eastAsia="Times New Roman" w:hAnsi="Arial" w:cs="Arial"/>
          <w:b/>
          <w:lang w:val="en-US" w:eastAsia="ru-RU"/>
        </w:rPr>
        <w:t xml:space="preserve">Applicant </w:t>
      </w:r>
      <w:r w:rsidR="006A7DB9" w:rsidRPr="00A473B5">
        <w:rPr>
          <w:rFonts w:ascii="Arial" w:eastAsia="Times New Roman" w:hAnsi="Arial" w:cs="Arial"/>
          <w:b/>
          <w:lang w:val="en-US" w:eastAsia="ru-RU"/>
        </w:rPr>
        <w:t xml:space="preserve">Application </w:t>
      </w:r>
      <w:r w:rsidR="00C64E4D">
        <w:rPr>
          <w:rFonts w:ascii="Arial" w:eastAsia="Times New Roman" w:hAnsi="Arial" w:cs="Arial"/>
          <w:b/>
          <w:lang w:val="en-US" w:eastAsia="ru-RU"/>
        </w:rPr>
        <w:t>Form (CSD</w:t>
      </w:r>
      <w:r w:rsidRPr="00A473B5">
        <w:rPr>
          <w:rFonts w:ascii="Arial" w:eastAsia="Times New Roman" w:hAnsi="Arial" w:cs="Arial"/>
          <w:b/>
          <w:lang w:val="en-US" w:eastAsia="ru-RU"/>
        </w:rPr>
        <w:t xml:space="preserve">-AAF) </w:t>
      </w:r>
    </w:p>
    <w:p w14:paraId="0AD53151" w14:textId="77777777" w:rsidR="006A7DB9" w:rsidRPr="001825A7" w:rsidRDefault="006A7DB9" w:rsidP="006A7DB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53BB75FC" w14:textId="1641052F" w:rsidR="00EA7819" w:rsidRPr="001825A7" w:rsidRDefault="00EA7819" w:rsidP="00EA7819">
      <w:pPr>
        <w:spacing w:after="120" w:line="264" w:lineRule="auto"/>
        <w:jc w:val="both"/>
        <w:rPr>
          <w:rFonts w:ascii="Arial" w:eastAsia="SimSun" w:hAnsi="Arial" w:cs="Arial"/>
          <w:sz w:val="20"/>
          <w:szCs w:val="20"/>
          <w:lang w:val="en-US"/>
        </w:rPr>
      </w:pPr>
      <w:r w:rsidRPr="001825A7">
        <w:rPr>
          <w:rFonts w:ascii="Arial" w:eastAsia="SimSun" w:hAnsi="Arial" w:cs="Arial"/>
          <w:sz w:val="20"/>
          <w:szCs w:val="20"/>
          <w:lang w:val="en-US"/>
        </w:rPr>
        <w:t xml:space="preserve">Date: </w:t>
      </w:r>
      <w:r w:rsidRPr="001825A7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25A7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1825A7">
        <w:rPr>
          <w:rFonts w:ascii="Arial" w:hAnsi="Arial" w:cs="Arial"/>
          <w:sz w:val="20"/>
          <w:szCs w:val="20"/>
        </w:rPr>
      </w:r>
      <w:r w:rsidRPr="001825A7">
        <w:rPr>
          <w:rFonts w:ascii="Arial" w:hAnsi="Arial" w:cs="Arial"/>
          <w:sz w:val="20"/>
          <w:szCs w:val="20"/>
        </w:rPr>
        <w:fldChar w:fldCharType="separate"/>
      </w:r>
      <w:r w:rsidRPr="001825A7">
        <w:rPr>
          <w:rFonts w:ascii="Arial" w:hAnsi="Arial" w:cs="Arial"/>
          <w:noProof/>
          <w:sz w:val="20"/>
          <w:szCs w:val="20"/>
        </w:rPr>
        <w:t> </w:t>
      </w:r>
      <w:r w:rsidRPr="001825A7">
        <w:rPr>
          <w:rFonts w:ascii="Arial" w:hAnsi="Arial" w:cs="Arial"/>
          <w:noProof/>
          <w:sz w:val="20"/>
          <w:szCs w:val="20"/>
        </w:rPr>
        <w:t> </w:t>
      </w:r>
      <w:r w:rsidRPr="001825A7">
        <w:rPr>
          <w:rFonts w:ascii="Arial" w:hAnsi="Arial" w:cs="Arial"/>
          <w:noProof/>
          <w:sz w:val="20"/>
          <w:szCs w:val="20"/>
        </w:rPr>
        <w:t> </w:t>
      </w:r>
      <w:r w:rsidRPr="001825A7">
        <w:rPr>
          <w:rFonts w:ascii="Arial" w:hAnsi="Arial" w:cs="Arial"/>
          <w:noProof/>
          <w:sz w:val="20"/>
          <w:szCs w:val="20"/>
        </w:rPr>
        <w:t> </w:t>
      </w:r>
      <w:r w:rsidRPr="001825A7">
        <w:rPr>
          <w:rFonts w:ascii="Arial" w:hAnsi="Arial" w:cs="Arial"/>
          <w:noProof/>
          <w:sz w:val="20"/>
          <w:szCs w:val="20"/>
        </w:rPr>
        <w:t> </w:t>
      </w:r>
      <w:r w:rsidRPr="001825A7">
        <w:rPr>
          <w:rFonts w:ascii="Arial" w:hAnsi="Arial" w:cs="Arial"/>
          <w:sz w:val="20"/>
          <w:szCs w:val="20"/>
        </w:rPr>
        <w:fldChar w:fldCharType="end"/>
      </w:r>
    </w:p>
    <w:p w14:paraId="1B91C3AD" w14:textId="77777777" w:rsidR="006A7DB9" w:rsidRPr="001825A7" w:rsidRDefault="006A7DB9" w:rsidP="008E0C36">
      <w:pPr>
        <w:spacing w:after="0" w:line="240" w:lineRule="auto"/>
        <w:ind w:left="-567" w:firstLine="567"/>
        <w:jc w:val="both"/>
        <w:rPr>
          <w:rFonts w:ascii="Arial" w:hAnsi="Arial" w:cs="Arial"/>
          <w:sz w:val="20"/>
          <w:szCs w:val="20"/>
          <w:lang w:val="en-US"/>
        </w:rPr>
      </w:pPr>
    </w:p>
    <w:p w14:paraId="420C76B9" w14:textId="2407AC54" w:rsidR="006A7DB9" w:rsidRPr="001825A7" w:rsidRDefault="006A7DB9" w:rsidP="004B32FB">
      <w:pPr>
        <w:spacing w:after="0" w:line="240" w:lineRule="auto"/>
        <w:ind w:left="-567" w:firstLine="567"/>
        <w:jc w:val="both"/>
        <w:rPr>
          <w:rFonts w:ascii="Arial" w:hAnsi="Arial" w:cs="Arial"/>
          <w:sz w:val="20"/>
          <w:szCs w:val="20"/>
          <w:lang w:val="en-US"/>
        </w:rPr>
      </w:pPr>
      <w:r w:rsidRPr="001825A7">
        <w:rPr>
          <w:rFonts w:ascii="Arial" w:hAnsi="Arial" w:cs="Arial"/>
          <w:sz w:val="20"/>
          <w:szCs w:val="20"/>
          <w:lang w:val="en-US"/>
        </w:rPr>
        <w:t>Hereby</w:t>
      </w:r>
      <w:r w:rsidR="00B1259A" w:rsidRPr="001825A7">
        <w:rPr>
          <w:rFonts w:ascii="Arial" w:hAnsi="Arial" w:cs="Arial"/>
          <w:sz w:val="20"/>
          <w:szCs w:val="20"/>
          <w:lang w:val="en-US"/>
        </w:rPr>
        <w:t>,</w:t>
      </w:r>
      <w:r w:rsidRPr="001825A7">
        <w:rPr>
          <w:rFonts w:ascii="Arial" w:hAnsi="Arial" w:cs="Arial"/>
          <w:sz w:val="20"/>
          <w:szCs w:val="20"/>
          <w:lang w:val="en-US"/>
        </w:rPr>
        <w:t xml:space="preserve"> </w:t>
      </w:r>
      <w:r w:rsidR="00B1259A" w:rsidRPr="001825A7">
        <w:rPr>
          <w:rFonts w:ascii="Arial" w:hAnsi="Arial" w:cs="Arial"/>
          <w:sz w:val="20"/>
          <w:szCs w:val="20"/>
          <w:lang w:val="en-US"/>
        </w:rPr>
        <w:t>[</w:t>
      </w:r>
      <w:r w:rsidR="00B1259A" w:rsidRPr="001825A7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1259A" w:rsidRPr="001825A7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B1259A" w:rsidRPr="001825A7">
        <w:rPr>
          <w:rFonts w:ascii="Arial" w:hAnsi="Arial" w:cs="Arial"/>
          <w:sz w:val="20"/>
          <w:szCs w:val="20"/>
        </w:rPr>
      </w:r>
      <w:r w:rsidR="00B1259A" w:rsidRPr="001825A7">
        <w:rPr>
          <w:rFonts w:ascii="Arial" w:hAnsi="Arial" w:cs="Arial"/>
          <w:sz w:val="20"/>
          <w:szCs w:val="20"/>
        </w:rPr>
        <w:fldChar w:fldCharType="separate"/>
      </w:r>
      <w:r w:rsidR="00B1259A" w:rsidRPr="001825A7">
        <w:rPr>
          <w:rFonts w:ascii="Arial" w:hAnsi="Arial" w:cs="Arial"/>
          <w:noProof/>
          <w:sz w:val="20"/>
          <w:szCs w:val="20"/>
        </w:rPr>
        <w:t> </w:t>
      </w:r>
      <w:r w:rsidR="00B1259A" w:rsidRPr="001825A7">
        <w:rPr>
          <w:rFonts w:ascii="Arial" w:hAnsi="Arial" w:cs="Arial"/>
          <w:noProof/>
          <w:sz w:val="20"/>
          <w:szCs w:val="20"/>
        </w:rPr>
        <w:t> </w:t>
      </w:r>
      <w:r w:rsidR="00B1259A" w:rsidRPr="001825A7">
        <w:rPr>
          <w:rFonts w:ascii="Arial" w:hAnsi="Arial" w:cs="Arial"/>
          <w:noProof/>
          <w:sz w:val="20"/>
          <w:szCs w:val="20"/>
        </w:rPr>
        <w:t> </w:t>
      </w:r>
      <w:r w:rsidR="00B1259A" w:rsidRPr="001825A7">
        <w:rPr>
          <w:rFonts w:ascii="Arial" w:hAnsi="Arial" w:cs="Arial"/>
          <w:noProof/>
          <w:sz w:val="20"/>
          <w:szCs w:val="20"/>
        </w:rPr>
        <w:t> </w:t>
      </w:r>
      <w:r w:rsidR="00B1259A" w:rsidRPr="001825A7">
        <w:rPr>
          <w:rFonts w:ascii="Arial" w:hAnsi="Arial" w:cs="Arial"/>
          <w:noProof/>
          <w:sz w:val="20"/>
          <w:szCs w:val="20"/>
        </w:rPr>
        <w:t> </w:t>
      </w:r>
      <w:r w:rsidR="00B1259A" w:rsidRPr="001825A7">
        <w:rPr>
          <w:rFonts w:ascii="Arial" w:hAnsi="Arial" w:cs="Arial"/>
          <w:sz w:val="20"/>
          <w:szCs w:val="20"/>
        </w:rPr>
        <w:fldChar w:fldCharType="end"/>
      </w:r>
      <w:r w:rsidR="00B1259A" w:rsidRPr="001825A7">
        <w:rPr>
          <w:rFonts w:ascii="Arial" w:hAnsi="Arial" w:cs="Arial"/>
          <w:sz w:val="20"/>
          <w:szCs w:val="20"/>
          <w:lang w:val="en-US"/>
        </w:rPr>
        <w:t>]</w:t>
      </w:r>
      <w:r w:rsidRPr="001825A7">
        <w:rPr>
          <w:rFonts w:ascii="Arial" w:hAnsi="Arial" w:cs="Arial"/>
          <w:sz w:val="20"/>
          <w:szCs w:val="20"/>
          <w:lang w:val="en-US"/>
        </w:rPr>
        <w:t xml:space="preserve"> (hereinafter </w:t>
      </w:r>
      <w:r w:rsidR="00312117" w:rsidRPr="00FB3B14">
        <w:rPr>
          <w:rFonts w:ascii="Arial" w:hAnsi="Arial" w:cs="Arial"/>
          <w:sz w:val="20"/>
          <w:szCs w:val="20"/>
          <w:lang w:val="en-US"/>
        </w:rPr>
        <w:t xml:space="preserve">referred to </w:t>
      </w:r>
      <w:r w:rsidRPr="001825A7">
        <w:rPr>
          <w:rFonts w:ascii="Arial" w:hAnsi="Arial" w:cs="Arial"/>
          <w:sz w:val="20"/>
          <w:szCs w:val="20"/>
          <w:lang w:val="en-US"/>
        </w:rPr>
        <w:t>as</w:t>
      </w:r>
      <w:r w:rsidR="00615705" w:rsidRPr="001825A7">
        <w:rPr>
          <w:rFonts w:ascii="Arial" w:hAnsi="Arial" w:cs="Arial"/>
          <w:sz w:val="20"/>
          <w:szCs w:val="20"/>
          <w:lang w:val="en-US"/>
        </w:rPr>
        <w:t xml:space="preserve"> the</w:t>
      </w:r>
      <w:r w:rsidRPr="001825A7">
        <w:rPr>
          <w:rFonts w:ascii="Arial" w:hAnsi="Arial" w:cs="Arial"/>
          <w:sz w:val="20"/>
          <w:szCs w:val="20"/>
          <w:lang w:val="en-US"/>
        </w:rPr>
        <w:t xml:space="preserve"> Applicant) declares its full and unconditional acceptance of the </w:t>
      </w:r>
      <w:r w:rsidR="00CA177E">
        <w:rPr>
          <w:rFonts w:ascii="Arial" w:hAnsi="Arial" w:cs="Arial"/>
          <w:sz w:val="20"/>
          <w:szCs w:val="20"/>
          <w:lang w:val="en-US"/>
        </w:rPr>
        <w:t>t</w:t>
      </w:r>
      <w:r w:rsidR="004B32FB" w:rsidRPr="001825A7">
        <w:rPr>
          <w:rFonts w:ascii="Arial" w:hAnsi="Arial" w:cs="Arial"/>
          <w:sz w:val="20"/>
          <w:szCs w:val="20"/>
          <w:lang w:val="en-US"/>
        </w:rPr>
        <w:t xml:space="preserve">erms of </w:t>
      </w:r>
      <w:r w:rsidR="00312117">
        <w:rPr>
          <w:rFonts w:ascii="Arial" w:hAnsi="Arial" w:cs="Arial"/>
          <w:sz w:val="20"/>
          <w:szCs w:val="20"/>
          <w:lang w:val="en-US"/>
        </w:rPr>
        <w:t xml:space="preserve">the </w:t>
      </w:r>
      <w:r w:rsidR="004B32FB" w:rsidRPr="001825A7">
        <w:rPr>
          <w:rFonts w:ascii="Arial" w:hAnsi="Arial" w:cs="Arial"/>
          <w:sz w:val="20"/>
          <w:szCs w:val="20"/>
          <w:lang w:val="en-US"/>
        </w:rPr>
        <w:t xml:space="preserve">Business </w:t>
      </w:r>
      <w:r w:rsidR="00CA177E">
        <w:rPr>
          <w:rFonts w:ascii="Arial" w:hAnsi="Arial" w:cs="Arial"/>
          <w:sz w:val="20"/>
          <w:szCs w:val="20"/>
          <w:lang w:val="en-US"/>
        </w:rPr>
        <w:t xml:space="preserve">Rules </w:t>
      </w:r>
      <w:r w:rsidR="00312117">
        <w:rPr>
          <w:rFonts w:ascii="Arial" w:hAnsi="Arial" w:cs="Arial"/>
          <w:sz w:val="20"/>
          <w:szCs w:val="20"/>
          <w:lang w:val="en-US"/>
        </w:rPr>
        <w:t xml:space="preserve">of </w:t>
      </w:r>
      <w:r w:rsidR="00D450F6">
        <w:rPr>
          <w:rFonts w:ascii="Arial" w:hAnsi="Arial" w:cs="Arial"/>
          <w:sz w:val="20"/>
          <w:szCs w:val="20"/>
          <w:lang w:val="en-US"/>
        </w:rPr>
        <w:t xml:space="preserve">ITS </w:t>
      </w:r>
      <w:r w:rsidRPr="001825A7">
        <w:rPr>
          <w:rFonts w:ascii="Arial" w:hAnsi="Arial" w:cs="Arial"/>
          <w:sz w:val="20"/>
          <w:szCs w:val="20"/>
          <w:lang w:val="en-US"/>
        </w:rPr>
        <w:t>Central Security Depository L</w:t>
      </w:r>
      <w:r w:rsidR="00312117">
        <w:rPr>
          <w:rFonts w:ascii="Arial" w:hAnsi="Arial" w:cs="Arial"/>
          <w:sz w:val="20"/>
          <w:szCs w:val="20"/>
          <w:lang w:val="en-US"/>
        </w:rPr>
        <w:t>imited</w:t>
      </w:r>
      <w:r w:rsidRPr="001825A7">
        <w:rPr>
          <w:rFonts w:ascii="Arial" w:hAnsi="Arial" w:cs="Arial"/>
          <w:sz w:val="20"/>
          <w:szCs w:val="20"/>
          <w:lang w:val="en-US"/>
        </w:rPr>
        <w:t xml:space="preserve"> (hereinafter referred to as the </w:t>
      </w:r>
      <w:r w:rsidR="00CA177E">
        <w:rPr>
          <w:rFonts w:ascii="Arial" w:hAnsi="Arial" w:cs="Arial"/>
          <w:sz w:val="20"/>
          <w:szCs w:val="20"/>
          <w:lang w:val="en-US"/>
        </w:rPr>
        <w:t>Rules</w:t>
      </w:r>
      <w:r w:rsidRPr="001825A7">
        <w:rPr>
          <w:rFonts w:ascii="Arial" w:hAnsi="Arial" w:cs="Arial"/>
          <w:sz w:val="20"/>
          <w:szCs w:val="20"/>
          <w:lang w:val="en-US"/>
        </w:rPr>
        <w:t xml:space="preserve">) in the manner prescribed by </w:t>
      </w:r>
      <w:r w:rsidR="00312117">
        <w:rPr>
          <w:rFonts w:ascii="Arial" w:hAnsi="Arial" w:cs="Arial"/>
          <w:sz w:val="20"/>
          <w:szCs w:val="20"/>
          <w:lang w:val="en-US"/>
        </w:rPr>
        <w:t xml:space="preserve">the </w:t>
      </w:r>
      <w:r w:rsidR="00CA177E">
        <w:rPr>
          <w:rFonts w:ascii="Arial" w:hAnsi="Arial" w:cs="Arial"/>
          <w:sz w:val="20"/>
          <w:szCs w:val="20"/>
          <w:lang w:val="en-US"/>
        </w:rPr>
        <w:t>Rules</w:t>
      </w:r>
      <w:r w:rsidRPr="001825A7">
        <w:rPr>
          <w:rFonts w:ascii="Arial" w:hAnsi="Arial" w:cs="Arial"/>
          <w:sz w:val="20"/>
          <w:szCs w:val="20"/>
          <w:lang w:val="en-US"/>
        </w:rPr>
        <w:t>.</w:t>
      </w:r>
    </w:p>
    <w:p w14:paraId="73337DDB" w14:textId="7DFC6AAC" w:rsidR="00C3693A" w:rsidRDefault="00312117" w:rsidP="008E0C36">
      <w:pPr>
        <w:spacing w:after="0" w:line="240" w:lineRule="auto"/>
        <w:ind w:left="-567" w:firstLine="56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Applicant </w:t>
      </w:r>
      <w:r w:rsidR="00C3693A" w:rsidRPr="001825A7">
        <w:rPr>
          <w:rFonts w:ascii="Arial" w:hAnsi="Arial" w:cs="Arial"/>
          <w:sz w:val="20"/>
          <w:szCs w:val="20"/>
          <w:lang w:val="en-US"/>
        </w:rPr>
        <w:t>hereby confirm</w:t>
      </w:r>
      <w:r>
        <w:rPr>
          <w:rFonts w:ascii="Arial" w:hAnsi="Arial" w:cs="Arial"/>
          <w:sz w:val="20"/>
          <w:szCs w:val="20"/>
          <w:lang w:val="en-US"/>
        </w:rPr>
        <w:t>s</w:t>
      </w:r>
      <w:r w:rsidR="00C3693A" w:rsidRPr="001825A7">
        <w:rPr>
          <w:rFonts w:ascii="Arial" w:hAnsi="Arial" w:cs="Arial"/>
          <w:sz w:val="20"/>
          <w:szCs w:val="20"/>
          <w:lang w:val="en-US"/>
        </w:rPr>
        <w:t xml:space="preserve"> that </w:t>
      </w:r>
      <w:r>
        <w:rPr>
          <w:rFonts w:ascii="Arial" w:hAnsi="Arial" w:cs="Arial"/>
          <w:sz w:val="20"/>
          <w:szCs w:val="20"/>
          <w:lang w:val="en-US"/>
        </w:rPr>
        <w:t xml:space="preserve">it has </w:t>
      </w:r>
      <w:r w:rsidR="00C3693A" w:rsidRPr="001825A7">
        <w:rPr>
          <w:rFonts w:ascii="Arial" w:hAnsi="Arial" w:cs="Arial"/>
          <w:sz w:val="20"/>
          <w:szCs w:val="20"/>
          <w:lang w:val="en-US"/>
        </w:rPr>
        <w:t xml:space="preserve">read all the provisions of the </w:t>
      </w:r>
      <w:r w:rsidR="00CA177E">
        <w:rPr>
          <w:rFonts w:ascii="Arial" w:hAnsi="Arial" w:cs="Arial"/>
          <w:sz w:val="20"/>
          <w:szCs w:val="20"/>
          <w:lang w:val="en-US"/>
        </w:rPr>
        <w:t>Rules</w:t>
      </w:r>
      <w:r w:rsidR="00C3693A" w:rsidRPr="001825A7">
        <w:rPr>
          <w:rFonts w:ascii="Arial" w:hAnsi="Arial" w:cs="Arial"/>
          <w:sz w:val="20"/>
          <w:szCs w:val="20"/>
          <w:lang w:val="en-US"/>
        </w:rPr>
        <w:t xml:space="preserve">, including the Procedures to the </w:t>
      </w:r>
      <w:r w:rsidR="00CA177E">
        <w:rPr>
          <w:rFonts w:ascii="Arial" w:hAnsi="Arial" w:cs="Arial"/>
          <w:sz w:val="20"/>
          <w:szCs w:val="20"/>
          <w:lang w:val="en-US"/>
        </w:rPr>
        <w:t>Rules</w:t>
      </w:r>
      <w:r w:rsidR="00C3693A" w:rsidRPr="001825A7">
        <w:rPr>
          <w:rFonts w:ascii="Arial" w:hAnsi="Arial" w:cs="Arial"/>
          <w:sz w:val="20"/>
          <w:szCs w:val="20"/>
          <w:lang w:val="en-US"/>
        </w:rPr>
        <w:t>, and undertake</w:t>
      </w:r>
      <w:r>
        <w:rPr>
          <w:rFonts w:ascii="Arial" w:hAnsi="Arial" w:cs="Arial"/>
          <w:sz w:val="20"/>
          <w:szCs w:val="20"/>
          <w:lang w:val="en-US"/>
        </w:rPr>
        <w:t>s</w:t>
      </w:r>
      <w:r w:rsidR="00C3693A" w:rsidRPr="001825A7">
        <w:rPr>
          <w:rFonts w:ascii="Arial" w:hAnsi="Arial" w:cs="Arial"/>
          <w:sz w:val="20"/>
          <w:szCs w:val="20"/>
          <w:lang w:val="en-US"/>
        </w:rPr>
        <w:t xml:space="preserve"> to comply with them.</w:t>
      </w:r>
    </w:p>
    <w:p w14:paraId="4660988C" w14:textId="77777777" w:rsidR="00312117" w:rsidRDefault="00312117" w:rsidP="008E0C36">
      <w:pPr>
        <w:spacing w:after="0" w:line="240" w:lineRule="auto"/>
        <w:ind w:left="-567" w:firstLine="567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6"/>
        <w:tblW w:w="0" w:type="auto"/>
        <w:tblInd w:w="-289" w:type="dxa"/>
        <w:tblLook w:val="04A0" w:firstRow="1" w:lastRow="0" w:firstColumn="1" w:lastColumn="0" w:noHBand="0" w:noVBand="1"/>
      </w:tblPr>
      <w:tblGrid>
        <w:gridCol w:w="5812"/>
        <w:gridCol w:w="3821"/>
      </w:tblGrid>
      <w:tr w:rsidR="00312117" w:rsidRPr="00B24E10" w14:paraId="4555BB18" w14:textId="77777777" w:rsidTr="00FB3B14">
        <w:trPr>
          <w:trHeight w:val="319"/>
        </w:trPr>
        <w:tc>
          <w:tcPr>
            <w:tcW w:w="5812" w:type="dxa"/>
          </w:tcPr>
          <w:p w14:paraId="313D31CA" w14:textId="77777777" w:rsidR="00312117" w:rsidRPr="00B24E10" w:rsidRDefault="00312117" w:rsidP="00DE50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4E10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B24E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4E10">
              <w:rPr>
                <w:rFonts w:ascii="Arial" w:hAnsi="Arial" w:cs="Arial"/>
                <w:sz w:val="20"/>
                <w:szCs w:val="20"/>
              </w:rPr>
              <w:t>Legal</w:t>
            </w:r>
            <w:proofErr w:type="spellEnd"/>
            <w:r w:rsidRPr="00B24E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4E10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821" w:type="dxa"/>
          </w:tcPr>
          <w:p w14:paraId="13ABEAA7" w14:textId="77777777" w:rsidR="00312117" w:rsidRPr="00B24E10" w:rsidRDefault="00312117" w:rsidP="00DE5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117" w:rsidRPr="00B24E10" w14:paraId="1A26F5B3" w14:textId="77777777" w:rsidTr="00FB3B14">
        <w:tc>
          <w:tcPr>
            <w:tcW w:w="5812" w:type="dxa"/>
          </w:tcPr>
          <w:p w14:paraId="6C5A04BD" w14:textId="77777777" w:rsidR="00312117" w:rsidRPr="00B24E10" w:rsidRDefault="00312117" w:rsidP="00DE505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4E10">
              <w:rPr>
                <w:rFonts w:ascii="Arial" w:hAnsi="Arial" w:cs="Arial"/>
                <w:sz w:val="20"/>
                <w:szCs w:val="20"/>
                <w:lang w:val="en-US"/>
              </w:rPr>
              <w:t>Legal form</w:t>
            </w:r>
          </w:p>
        </w:tc>
        <w:tc>
          <w:tcPr>
            <w:tcW w:w="3821" w:type="dxa"/>
          </w:tcPr>
          <w:p w14:paraId="5474A691" w14:textId="77777777" w:rsidR="00312117" w:rsidRPr="00B24E10" w:rsidRDefault="00312117" w:rsidP="00DE5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117" w:rsidRPr="00BB772A" w14:paraId="6902FC16" w14:textId="77777777" w:rsidTr="00FB3B14">
        <w:trPr>
          <w:trHeight w:val="347"/>
        </w:trPr>
        <w:tc>
          <w:tcPr>
            <w:tcW w:w="5812" w:type="dxa"/>
          </w:tcPr>
          <w:p w14:paraId="63AC9284" w14:textId="77777777" w:rsidR="00312117" w:rsidRPr="00B24E10" w:rsidRDefault="00312117" w:rsidP="00DE505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4E10">
              <w:rPr>
                <w:rFonts w:ascii="Arial" w:hAnsi="Arial" w:cs="Arial"/>
                <w:sz w:val="20"/>
                <w:szCs w:val="20"/>
                <w:lang w:val="en-US"/>
              </w:rPr>
              <w:t>Business Identification Number (BIN)/Tax Identification Number (TIN) (or equivalent)</w:t>
            </w:r>
          </w:p>
        </w:tc>
        <w:tc>
          <w:tcPr>
            <w:tcW w:w="3821" w:type="dxa"/>
          </w:tcPr>
          <w:p w14:paraId="6E7DBE86" w14:textId="77777777" w:rsidR="00312117" w:rsidRPr="00B24E10" w:rsidRDefault="00312117" w:rsidP="00DE50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473B5" w:rsidRPr="00BB772A" w14:paraId="69D90928" w14:textId="77777777" w:rsidTr="00FB3B14">
        <w:trPr>
          <w:trHeight w:val="347"/>
        </w:trPr>
        <w:tc>
          <w:tcPr>
            <w:tcW w:w="5812" w:type="dxa"/>
          </w:tcPr>
          <w:p w14:paraId="16B80F8D" w14:textId="56E75D00" w:rsidR="00A473B5" w:rsidRPr="00B24E10" w:rsidRDefault="00A473B5" w:rsidP="00DE505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KCSD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Unique Client Code (if applicable)</w:t>
            </w:r>
          </w:p>
        </w:tc>
        <w:tc>
          <w:tcPr>
            <w:tcW w:w="3821" w:type="dxa"/>
          </w:tcPr>
          <w:p w14:paraId="2E395E07" w14:textId="77777777" w:rsidR="00A473B5" w:rsidRPr="00B24E10" w:rsidRDefault="00A473B5" w:rsidP="00DE50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97034EB" w14:textId="142BAFF2" w:rsidR="00C3693A" w:rsidRPr="001825A7" w:rsidRDefault="00C3693A" w:rsidP="00FB3B1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36B948F" w14:textId="77777777" w:rsidR="00C3693A" w:rsidRPr="001825A7" w:rsidRDefault="00C3693A" w:rsidP="003F3D6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12EF384" w14:textId="77777777" w:rsidR="00C3693A" w:rsidRPr="001825A7" w:rsidRDefault="00C3693A" w:rsidP="003F3D6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3383"/>
        <w:gridCol w:w="5812"/>
      </w:tblGrid>
      <w:tr w:rsidR="00D450F6" w:rsidRPr="00BB772A" w14:paraId="5BEE024C" w14:textId="77777777" w:rsidTr="003F3645">
        <w:trPr>
          <w:trHeight w:val="453"/>
        </w:trPr>
        <w:tc>
          <w:tcPr>
            <w:tcW w:w="474" w:type="dxa"/>
            <w:vAlign w:val="center"/>
          </w:tcPr>
          <w:p w14:paraId="0DE80A8D" w14:textId="77777777" w:rsidR="00D450F6" w:rsidRPr="00A332CB" w:rsidRDefault="00D450F6" w:rsidP="003F36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332CB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3383" w:type="dxa"/>
            <w:vAlign w:val="center"/>
          </w:tcPr>
          <w:p w14:paraId="19E9847D" w14:textId="77777777" w:rsidR="00D450F6" w:rsidRPr="00A332CB" w:rsidRDefault="00D450F6" w:rsidP="003F36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b/>
                <w:sz w:val="20"/>
                <w:szCs w:val="20"/>
                <w:lang w:val="en-US"/>
              </w:rPr>
              <w:t>Account</w:t>
            </w:r>
          </w:p>
        </w:tc>
        <w:tc>
          <w:tcPr>
            <w:tcW w:w="5812" w:type="dxa"/>
            <w:vAlign w:val="center"/>
          </w:tcPr>
          <w:p w14:paraId="6DE7E5D1" w14:textId="77777777" w:rsidR="00A473B5" w:rsidRDefault="00D450F6" w:rsidP="003F36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Type of the Account </w:t>
            </w:r>
          </w:p>
          <w:p w14:paraId="2E8C6AE8" w14:textId="5795380D" w:rsidR="00D450F6" w:rsidRPr="00FB3B14" w:rsidRDefault="00A473B5" w:rsidP="00A473B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</w:pPr>
            <w:r w:rsidRPr="00FB3B1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(For Clearing Participant only)</w:t>
            </w:r>
          </w:p>
        </w:tc>
      </w:tr>
      <w:tr w:rsidR="00D450F6" w:rsidRPr="006E104F" w14:paraId="06955174" w14:textId="77777777" w:rsidTr="003F3645">
        <w:trPr>
          <w:trHeight w:val="720"/>
        </w:trPr>
        <w:tc>
          <w:tcPr>
            <w:tcW w:w="474" w:type="dxa"/>
            <w:vMerge w:val="restart"/>
            <w:vAlign w:val="center"/>
          </w:tcPr>
          <w:p w14:paraId="54DB0A68" w14:textId="77777777" w:rsidR="00D450F6" w:rsidRPr="00A332CB" w:rsidRDefault="00D450F6" w:rsidP="003F3645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83" w:type="dxa"/>
            <w:vMerge w:val="restart"/>
            <w:vAlign w:val="center"/>
          </w:tcPr>
          <w:p w14:paraId="722B07BA" w14:textId="77777777" w:rsidR="00D450F6" w:rsidRPr="00A332CB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0848D8">
              <w:rPr>
                <w:rFonts w:ascii="Arial" w:hAnsi="Arial" w:cs="Arial"/>
                <w:sz w:val="20"/>
                <w:szCs w:val="20"/>
              </w:rPr>
            </w:r>
            <w:r w:rsidR="000848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House Account</w:t>
            </w:r>
          </w:p>
        </w:tc>
        <w:tc>
          <w:tcPr>
            <w:tcW w:w="5812" w:type="dxa"/>
            <w:vAlign w:val="center"/>
          </w:tcPr>
          <w:p w14:paraId="77D46380" w14:textId="77777777" w:rsidR="00D450F6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FA2C4C" w14:textId="77777777" w:rsidR="00D450F6" w:rsidRPr="00BB1688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0848D8">
              <w:rPr>
                <w:rFonts w:ascii="Arial" w:hAnsi="Arial" w:cs="Arial"/>
                <w:sz w:val="20"/>
                <w:szCs w:val="20"/>
              </w:rPr>
            </w:r>
            <w:r w:rsidR="000848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Trading Account</w:t>
            </w:r>
          </w:p>
          <w:p w14:paraId="7D8230C1" w14:textId="77777777" w:rsidR="00D450F6" w:rsidRPr="00A332CB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50F6" w:rsidRPr="006E104F" w14:paraId="00D1B14D" w14:textId="77777777" w:rsidTr="003F3645">
        <w:trPr>
          <w:trHeight w:val="720"/>
        </w:trPr>
        <w:tc>
          <w:tcPr>
            <w:tcW w:w="474" w:type="dxa"/>
            <w:vMerge/>
            <w:vAlign w:val="center"/>
          </w:tcPr>
          <w:p w14:paraId="29629400" w14:textId="77777777" w:rsidR="00D450F6" w:rsidRPr="00A332CB" w:rsidRDefault="00D450F6" w:rsidP="003F3645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83" w:type="dxa"/>
            <w:vMerge/>
            <w:vAlign w:val="center"/>
          </w:tcPr>
          <w:p w14:paraId="45D49B11" w14:textId="77777777" w:rsidR="00D450F6" w:rsidRPr="00A332CB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2887E7BB" w14:textId="312BA897" w:rsidR="00D450F6" w:rsidRPr="00584CD6" w:rsidRDefault="00D450F6" w:rsidP="003F364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0077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0771">
              <w:rPr>
                <w:rFonts w:ascii="Arial" w:hAnsi="Arial" w:cs="Arial"/>
                <w:i/>
                <w:sz w:val="20"/>
                <w:szCs w:val="20"/>
                <w:lang w:val="en-US"/>
              </w:rPr>
              <w:instrText xml:space="preserve"> FORMCHECKBOX </w:instrText>
            </w:r>
            <w:r w:rsidR="000848D8">
              <w:rPr>
                <w:rFonts w:ascii="Arial" w:hAnsi="Arial" w:cs="Arial"/>
                <w:i/>
                <w:sz w:val="20"/>
                <w:szCs w:val="20"/>
              </w:rPr>
            </w:r>
            <w:r w:rsidR="000848D8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0077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000771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FD24BB">
              <w:rPr>
                <w:rFonts w:ascii="Arial" w:hAnsi="Arial" w:cs="Arial"/>
                <w:sz w:val="20"/>
                <w:szCs w:val="20"/>
                <w:lang w:val="en-US"/>
              </w:rPr>
              <w:t>Guarantee account</w:t>
            </w:r>
            <w:r w:rsidRPr="00FD24BB" w:rsidDel="007C3B0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D24BB">
              <w:rPr>
                <w:rStyle w:val="af0"/>
                <w:rFonts w:ascii="Arial" w:hAnsi="Arial" w:cs="Arial"/>
                <w:sz w:val="20"/>
                <w:szCs w:val="20"/>
                <w:lang w:val="en-US"/>
              </w:rPr>
              <w:footnoteReference w:id="1"/>
            </w:r>
          </w:p>
        </w:tc>
      </w:tr>
      <w:tr w:rsidR="00D450F6" w:rsidRPr="006E104F" w14:paraId="340BB70A" w14:textId="77777777" w:rsidTr="003F3645">
        <w:trPr>
          <w:trHeight w:val="758"/>
        </w:trPr>
        <w:tc>
          <w:tcPr>
            <w:tcW w:w="474" w:type="dxa"/>
            <w:vAlign w:val="center"/>
          </w:tcPr>
          <w:p w14:paraId="078B8B93" w14:textId="77777777" w:rsidR="00D450F6" w:rsidRPr="00A332CB" w:rsidRDefault="00D450F6" w:rsidP="003F3645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83" w:type="dxa"/>
            <w:vAlign w:val="center"/>
          </w:tcPr>
          <w:p w14:paraId="0F764D84" w14:textId="77777777" w:rsidR="00D450F6" w:rsidRPr="00A332CB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0848D8">
              <w:rPr>
                <w:rFonts w:ascii="Arial" w:hAnsi="Arial" w:cs="Arial"/>
                <w:sz w:val="20"/>
                <w:szCs w:val="20"/>
              </w:rPr>
            </w:r>
            <w:r w:rsidR="000848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Omnibus Account</w:t>
            </w:r>
          </w:p>
        </w:tc>
        <w:tc>
          <w:tcPr>
            <w:tcW w:w="5812" w:type="dxa"/>
            <w:vAlign w:val="center"/>
          </w:tcPr>
          <w:p w14:paraId="48886807" w14:textId="77777777" w:rsidR="00D450F6" w:rsidRPr="00A332CB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0848D8">
              <w:rPr>
                <w:rFonts w:ascii="Arial" w:hAnsi="Arial" w:cs="Arial"/>
                <w:sz w:val="20"/>
                <w:szCs w:val="20"/>
              </w:rPr>
            </w:r>
            <w:r w:rsidR="000848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Trading Account</w:t>
            </w:r>
          </w:p>
        </w:tc>
      </w:tr>
    </w:tbl>
    <w:p w14:paraId="5824F81B" w14:textId="6B098EBC" w:rsidR="00697A3A" w:rsidRPr="00490A7F" w:rsidRDefault="00697A3A" w:rsidP="00D450F6">
      <w:pPr>
        <w:rPr>
          <w:lang w:val="en-US"/>
        </w:rPr>
      </w:pPr>
    </w:p>
    <w:tbl>
      <w:tblPr>
        <w:tblStyle w:val="ad"/>
        <w:tblW w:w="0" w:type="auto"/>
        <w:tblInd w:w="-289" w:type="dxa"/>
        <w:tblLook w:val="04A0" w:firstRow="1" w:lastRow="0" w:firstColumn="1" w:lastColumn="0" w:noHBand="0" w:noVBand="1"/>
      </w:tblPr>
      <w:tblGrid>
        <w:gridCol w:w="3828"/>
        <w:gridCol w:w="5805"/>
      </w:tblGrid>
      <w:tr w:rsidR="00D450F6" w14:paraId="6609A42A" w14:textId="77777777" w:rsidTr="003F3645">
        <w:tc>
          <w:tcPr>
            <w:tcW w:w="9633" w:type="dxa"/>
            <w:gridSpan w:val="2"/>
          </w:tcPr>
          <w:p w14:paraId="364BF91C" w14:textId="77777777" w:rsidR="00D450F6" w:rsidRDefault="00D450F6" w:rsidP="003F364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BA0831D" w14:textId="77777777" w:rsidR="00D450F6" w:rsidRDefault="00D450F6" w:rsidP="003F364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90A7F">
              <w:rPr>
                <w:rFonts w:ascii="Arial" w:hAnsi="Arial" w:cs="Arial"/>
                <w:b/>
                <w:sz w:val="20"/>
                <w:szCs w:val="20"/>
                <w:lang w:val="en-US"/>
              </w:rPr>
              <w:t>STATUS OF THE CLIENT</w:t>
            </w:r>
          </w:p>
          <w:p w14:paraId="77D29E23" w14:textId="77777777" w:rsidR="00D450F6" w:rsidRPr="00490A7F" w:rsidRDefault="00D450F6" w:rsidP="003F364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450F6" w:rsidRPr="00A473B5" w14:paraId="5EC270DE" w14:textId="77777777" w:rsidTr="00FB3B14">
        <w:tc>
          <w:tcPr>
            <w:tcW w:w="3828" w:type="dxa"/>
          </w:tcPr>
          <w:p w14:paraId="1AEBDE6A" w14:textId="77777777" w:rsidR="00D450F6" w:rsidRDefault="00D450F6" w:rsidP="003F36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5C04559" w14:textId="77777777" w:rsidR="00D450F6" w:rsidRDefault="00D450F6" w:rsidP="003F364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0848D8">
              <w:rPr>
                <w:rFonts w:ascii="Arial" w:hAnsi="Arial" w:cs="Arial"/>
                <w:sz w:val="20"/>
                <w:szCs w:val="20"/>
              </w:rPr>
            </w:r>
            <w:r w:rsidR="000848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ITS CCP Clearing Participant</w:t>
            </w:r>
          </w:p>
          <w:p w14:paraId="1C31540E" w14:textId="77777777" w:rsidR="00D450F6" w:rsidRDefault="00D450F6" w:rsidP="003F3645">
            <w:pPr>
              <w:spacing w:after="0"/>
            </w:pPr>
          </w:p>
        </w:tc>
        <w:tc>
          <w:tcPr>
            <w:tcW w:w="5805" w:type="dxa"/>
            <w:shd w:val="clear" w:color="auto" w:fill="EAF1DD" w:themeFill="accent3" w:themeFillTint="33"/>
          </w:tcPr>
          <w:p w14:paraId="2B726611" w14:textId="69F7F8D1" w:rsidR="00D450F6" w:rsidRPr="00FB3B14" w:rsidRDefault="00D450F6" w:rsidP="003F3645">
            <w:pPr>
              <w:spacing w:after="0"/>
              <w:rPr>
                <w:lang w:val="en-US"/>
              </w:rPr>
            </w:pPr>
          </w:p>
        </w:tc>
      </w:tr>
      <w:tr w:rsidR="00D450F6" w:rsidRPr="00BB772A" w14:paraId="771E8EF6" w14:textId="77777777" w:rsidTr="00E81A40">
        <w:tc>
          <w:tcPr>
            <w:tcW w:w="3828" w:type="dxa"/>
          </w:tcPr>
          <w:p w14:paraId="6470D48E" w14:textId="77777777" w:rsidR="00D450F6" w:rsidRPr="00472BA7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97389B" w14:textId="77777777" w:rsidR="00D450F6" w:rsidRPr="00490A7F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0848D8">
              <w:rPr>
                <w:rFonts w:ascii="Arial" w:hAnsi="Arial" w:cs="Arial"/>
                <w:sz w:val="20"/>
                <w:szCs w:val="20"/>
              </w:rPr>
            </w:r>
            <w:r w:rsidR="000848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Depository / Custodian of ITS CCP Clearing Participant</w:t>
            </w:r>
          </w:p>
        </w:tc>
        <w:tc>
          <w:tcPr>
            <w:tcW w:w="5805" w:type="dxa"/>
            <w:shd w:val="clear" w:color="auto" w:fill="auto"/>
          </w:tcPr>
          <w:p w14:paraId="5F637729" w14:textId="77777777" w:rsidR="00D450F6" w:rsidRPr="00A473B5" w:rsidRDefault="00D450F6" w:rsidP="003F364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5DF4C78" w14:textId="3157B95D" w:rsidR="00D450F6" w:rsidRPr="00A473B5" w:rsidRDefault="00D450F6" w:rsidP="003F364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73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473B5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0848D8">
              <w:rPr>
                <w:rFonts w:ascii="Arial" w:hAnsi="Arial" w:cs="Arial"/>
                <w:b/>
                <w:sz w:val="20"/>
                <w:szCs w:val="20"/>
              </w:rPr>
            </w:r>
            <w:r w:rsidR="000848D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73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 consent for the recording </w:t>
            </w:r>
            <w:r w:rsidR="00A473B5" w:rsidRPr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of </w:t>
            </w:r>
            <w:r w:rsidR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473B5" w:rsidRPr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Transactions on the above Account related to my </w:t>
            </w:r>
            <w:r w:rsidR="00A473B5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A473B5" w:rsidRPr="00A473B5">
              <w:rPr>
                <w:rFonts w:ascii="Arial" w:hAnsi="Arial" w:cs="Arial"/>
                <w:sz w:val="20"/>
                <w:szCs w:val="20"/>
                <w:lang w:val="en-US"/>
              </w:rPr>
              <w:t>lient's operations</w:t>
            </w:r>
            <w:r w:rsidRPr="00A473B5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Pr="00A473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473B5">
              <w:rPr>
                <w:rFonts w:ascii="Arial" w:hAnsi="Arial" w:cs="Arial"/>
                <w:sz w:val="20"/>
                <w:szCs w:val="20"/>
              </w:rPr>
            </w:r>
            <w:r w:rsidRPr="00A473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73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73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73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73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73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73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 (name of the client – Clearing Participant)</w:t>
            </w:r>
          </w:p>
          <w:p w14:paraId="628552A3" w14:textId="77777777" w:rsidR="00D450F6" w:rsidRPr="00A473B5" w:rsidRDefault="00D450F6" w:rsidP="003F364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C9D688D" w14:textId="0265266E" w:rsidR="00D450F6" w:rsidRPr="00A473B5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73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473B5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0848D8">
              <w:rPr>
                <w:rFonts w:ascii="Arial" w:hAnsi="Arial" w:cs="Arial"/>
                <w:b/>
                <w:sz w:val="20"/>
                <w:szCs w:val="20"/>
              </w:rPr>
            </w:r>
            <w:r w:rsidR="000848D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73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473B5">
              <w:rPr>
                <w:rFonts w:ascii="Arial" w:hAnsi="Arial" w:cs="Arial"/>
                <w:sz w:val="20"/>
                <w:szCs w:val="20"/>
                <w:lang w:val="en-US"/>
              </w:rPr>
              <w:t>consent for the</w:t>
            </w:r>
            <w:r w:rsidR="00A473B5" w:rsidRPr="00A473B5" w:rsidDel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transmission of reports related to the above Account via EDMS to the Clearing Participant: 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 (EDMS code of the Clearing Participant)</w:t>
            </w:r>
          </w:p>
          <w:p w14:paraId="2FC01626" w14:textId="135C7266" w:rsidR="00D450F6" w:rsidRPr="00A473B5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50F6" w:rsidRPr="00BB772A" w14:paraId="0B24DCC7" w14:textId="77777777" w:rsidTr="00E81A40">
        <w:tc>
          <w:tcPr>
            <w:tcW w:w="3828" w:type="dxa"/>
          </w:tcPr>
          <w:p w14:paraId="6A5F676E" w14:textId="77777777" w:rsidR="00D450F6" w:rsidRPr="00BE54A3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90FCEBC" w14:textId="77777777" w:rsidR="00D450F6" w:rsidRPr="00490A7F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0848D8">
              <w:rPr>
                <w:rFonts w:ascii="Arial" w:hAnsi="Arial" w:cs="Arial"/>
                <w:sz w:val="20"/>
                <w:szCs w:val="20"/>
              </w:rPr>
            </w:r>
            <w:r w:rsidR="000848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t> Client of the ITS CCP Clearing Participant</w:t>
            </w:r>
          </w:p>
        </w:tc>
        <w:tc>
          <w:tcPr>
            <w:tcW w:w="5805" w:type="dxa"/>
            <w:shd w:val="clear" w:color="auto" w:fill="auto"/>
          </w:tcPr>
          <w:p w14:paraId="1E7AF218" w14:textId="77777777" w:rsidR="00D450F6" w:rsidRPr="00A473B5" w:rsidRDefault="00D450F6" w:rsidP="003F364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DA6367E" w14:textId="5EC0A24D" w:rsidR="00D450F6" w:rsidRPr="00A473B5" w:rsidRDefault="00D450F6" w:rsidP="003F364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73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473B5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0848D8">
              <w:rPr>
                <w:rFonts w:ascii="Arial" w:hAnsi="Arial" w:cs="Arial"/>
                <w:b/>
                <w:sz w:val="20"/>
                <w:szCs w:val="20"/>
              </w:rPr>
            </w:r>
            <w:r w:rsidR="000848D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73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473B5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consent for the 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reflection of Transactions on the above Account for the operations of the Clearing Participant: </w:t>
            </w:r>
            <w:r w:rsidRPr="00A473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473B5">
              <w:rPr>
                <w:rFonts w:ascii="Arial" w:hAnsi="Arial" w:cs="Arial"/>
                <w:sz w:val="20"/>
                <w:szCs w:val="20"/>
              </w:rPr>
            </w:r>
            <w:r w:rsidRPr="00A473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73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73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73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73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73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73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 (name of the Clearing Participant)</w:t>
            </w:r>
          </w:p>
          <w:p w14:paraId="1C856D52" w14:textId="77777777" w:rsidR="00D450F6" w:rsidRPr="00A473B5" w:rsidRDefault="00D450F6" w:rsidP="003F364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BFABD8" w14:textId="47F77111" w:rsidR="00D450F6" w:rsidRPr="00A473B5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73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473B5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0848D8">
              <w:rPr>
                <w:rFonts w:ascii="Arial" w:hAnsi="Arial" w:cs="Arial"/>
                <w:b/>
                <w:sz w:val="20"/>
                <w:szCs w:val="20"/>
              </w:rPr>
            </w:r>
            <w:r w:rsidR="000848D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73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473B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A473B5">
              <w:rPr>
                <w:rFonts w:ascii="Arial" w:hAnsi="Arial" w:cs="Arial"/>
                <w:sz w:val="20"/>
                <w:szCs w:val="20"/>
                <w:lang w:val="en-US"/>
              </w:rPr>
              <w:t>consent for the</w:t>
            </w:r>
            <w:r w:rsidR="00A473B5" w:rsidRPr="00A473B5" w:rsidDel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transmission of reports related to the above Account via EDMS to the Clearing Participant: 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 (EDMS code of the Clearing Participant)</w:t>
            </w:r>
          </w:p>
          <w:p w14:paraId="65305B21" w14:textId="77777777" w:rsidR="00D450F6" w:rsidRPr="00A473B5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50F6" w:rsidRPr="00BB772A" w14:paraId="454AEAB3" w14:textId="77777777" w:rsidTr="00E81A40">
        <w:tc>
          <w:tcPr>
            <w:tcW w:w="3828" w:type="dxa"/>
          </w:tcPr>
          <w:p w14:paraId="20368554" w14:textId="77777777" w:rsidR="00D450F6" w:rsidRPr="00BE54A3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A5A27B" w14:textId="77777777" w:rsidR="00D450F6" w:rsidRPr="00AF58B0" w:rsidRDefault="00D450F6" w:rsidP="003F36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32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32C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0848D8">
              <w:rPr>
                <w:rFonts w:ascii="Arial" w:hAnsi="Arial" w:cs="Arial"/>
                <w:sz w:val="20"/>
                <w:szCs w:val="20"/>
              </w:rPr>
            </w:r>
            <w:r w:rsidR="000848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2C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Fund</w:t>
            </w:r>
          </w:p>
        </w:tc>
        <w:tc>
          <w:tcPr>
            <w:tcW w:w="5805" w:type="dxa"/>
            <w:shd w:val="clear" w:color="auto" w:fill="auto"/>
          </w:tcPr>
          <w:p w14:paraId="7B574702" w14:textId="77777777" w:rsidR="00D450F6" w:rsidRPr="00A473B5" w:rsidRDefault="00D450F6" w:rsidP="003F364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E4C215E" w14:textId="771AB0CB" w:rsidR="00D450F6" w:rsidRPr="00A473B5" w:rsidRDefault="00D450F6" w:rsidP="003F364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473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473B5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0848D8">
              <w:rPr>
                <w:rFonts w:ascii="Arial" w:hAnsi="Arial" w:cs="Arial"/>
                <w:b/>
                <w:sz w:val="20"/>
                <w:szCs w:val="20"/>
              </w:rPr>
            </w:r>
            <w:r w:rsidR="000848D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73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473B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A473B5" w:rsidRPr="00DE505D">
              <w:rPr>
                <w:rFonts w:ascii="Arial" w:hAnsi="Arial" w:cs="Arial"/>
                <w:sz w:val="20"/>
                <w:szCs w:val="20"/>
                <w:lang w:val="en-US"/>
              </w:rPr>
              <w:t xml:space="preserve">notification of </w:t>
            </w:r>
            <w:r w:rsidR="00A473B5" w:rsidRPr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the person authorized to carry out Transactions on behalf of the Fund is the Fund Manager </w:t>
            </w:r>
            <w:r w:rsidRPr="00A473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473B5">
              <w:rPr>
                <w:rFonts w:ascii="Arial" w:hAnsi="Arial" w:cs="Arial"/>
                <w:sz w:val="20"/>
                <w:szCs w:val="20"/>
              </w:rPr>
            </w:r>
            <w:r w:rsidRPr="00A473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73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73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73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73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73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73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 xml:space="preserve"> (Name of the Fund Manager)</w:t>
            </w:r>
          </w:p>
          <w:p w14:paraId="0F5B86B1" w14:textId="3A7CAF6F" w:rsidR="00D450F6" w:rsidRPr="00A473B5" w:rsidRDefault="00D450F6" w:rsidP="00E81A40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743B9701" w14:textId="27F594DC" w:rsidR="008468F7" w:rsidRPr="004F0DBC" w:rsidRDefault="008468F7" w:rsidP="000665CC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3EEF6068" w14:textId="77777777" w:rsidR="00926FCA" w:rsidRPr="004F0DBC" w:rsidRDefault="00926FCA" w:rsidP="000665C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132"/>
      </w:tblGrid>
      <w:tr w:rsidR="00E81A40" w:rsidRPr="00BB772A" w14:paraId="5E07377D" w14:textId="77777777" w:rsidTr="0032778D">
        <w:trPr>
          <w:trHeight w:val="718"/>
        </w:trPr>
        <w:tc>
          <w:tcPr>
            <w:tcW w:w="9669" w:type="dxa"/>
            <w:gridSpan w:val="2"/>
            <w:vAlign w:val="center"/>
          </w:tcPr>
          <w:p w14:paraId="12ACA81C" w14:textId="77777777" w:rsidR="00E81A40" w:rsidRDefault="00E81A40" w:rsidP="00E81A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9424F5F" w14:textId="2C0338F4" w:rsidR="00E81A40" w:rsidRPr="00FB3B14" w:rsidRDefault="00E81A40" w:rsidP="00E81A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>ACCOUNT DETAILS FOR CORPORATE ACTIONS</w:t>
            </w:r>
          </w:p>
          <w:p w14:paraId="4FEBB1AC" w14:textId="77777777" w:rsidR="00E81A40" w:rsidRPr="00FB3B14" w:rsidRDefault="00E81A40" w:rsidP="00E81A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0BFC3D" w14:textId="77777777" w:rsidR="00E81A40" w:rsidRPr="00FB3B14" w:rsidRDefault="00E81A40" w:rsidP="00E81A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B14">
              <w:rPr>
                <w:rFonts w:ascii="Arial" w:hAnsi="Arial" w:cs="Arial"/>
                <w:sz w:val="20"/>
                <w:szCs w:val="20"/>
                <w:lang w:val="en-US"/>
              </w:rPr>
              <w:t xml:space="preserve">If payments are effected in respect of securities recorded in Trading Accounts, the payments shall be made solely to the </w:t>
            </w:r>
            <w:proofErr w:type="spellStart"/>
            <w:r w:rsidRPr="00FB3B14">
              <w:rPr>
                <w:rFonts w:ascii="Arial" w:hAnsi="Arial" w:cs="Arial"/>
                <w:sz w:val="20"/>
                <w:szCs w:val="20"/>
                <w:lang w:val="en-US"/>
              </w:rPr>
              <w:t>TCA</w:t>
            </w:r>
            <w:proofErr w:type="spellEnd"/>
            <w:r w:rsidRPr="00FB3B1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6D86118" w14:textId="77777777" w:rsidR="00E81A40" w:rsidRPr="00FB3B14" w:rsidRDefault="00E81A40" w:rsidP="00E81A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117A49" w14:textId="32DD6CC0" w:rsidR="00E81A40" w:rsidRDefault="00E81A40" w:rsidP="00E81A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B14">
              <w:rPr>
                <w:rFonts w:ascii="Arial" w:hAnsi="Arial" w:cs="Arial"/>
                <w:sz w:val="20"/>
                <w:szCs w:val="20"/>
                <w:lang w:val="en-US"/>
              </w:rPr>
              <w:t>If payments are effected in respect of securities recorded in accounts other than Trading Accounts, such payments shall be made to the Applicant's bank account</w:t>
            </w:r>
            <w:bookmarkStart w:id="0" w:name="_GoBack"/>
            <w:bookmarkEnd w:id="0"/>
            <w:r w:rsidRPr="00FB3B1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B2E65E1" w14:textId="77777777" w:rsidR="00E81A40" w:rsidRPr="00E81A40" w:rsidRDefault="00E81A40" w:rsidP="00A227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F0DBC" w:rsidRPr="00BB772A" w14:paraId="4E388F54" w14:textId="77777777" w:rsidTr="00F92763">
        <w:trPr>
          <w:trHeight w:val="718"/>
        </w:trPr>
        <w:tc>
          <w:tcPr>
            <w:tcW w:w="4537" w:type="dxa"/>
            <w:vMerge w:val="restart"/>
            <w:vAlign w:val="center"/>
          </w:tcPr>
          <w:p w14:paraId="6987F9DC" w14:textId="77777777" w:rsidR="00D40823" w:rsidRPr="004F0DBC" w:rsidRDefault="00D40823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The method of receiving payments under corporate actions</w:t>
            </w:r>
          </w:p>
        </w:tc>
        <w:tc>
          <w:tcPr>
            <w:tcW w:w="5132" w:type="dxa"/>
            <w:vAlign w:val="center"/>
          </w:tcPr>
          <w:p w14:paraId="5453429B" w14:textId="77777777" w:rsidR="00565CD0" w:rsidRPr="00E81A40" w:rsidRDefault="00565CD0" w:rsidP="00A227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40F089C" w14:textId="5BFB575C" w:rsidR="00D40823" w:rsidRDefault="00D40823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0848D8">
              <w:rPr>
                <w:rFonts w:ascii="Arial" w:hAnsi="Arial" w:cs="Arial"/>
                <w:b/>
                <w:sz w:val="20"/>
                <w:szCs w:val="20"/>
              </w:rPr>
            </w:r>
            <w:r w:rsidR="000848D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="0071240E" w:rsidRPr="004F0DBC">
              <w:rPr>
                <w:rFonts w:ascii="Arial" w:hAnsi="Arial" w:cs="Arial"/>
                <w:sz w:val="20"/>
                <w:szCs w:val="20"/>
                <w:lang w:val="en-US"/>
              </w:rPr>
              <w:t>Applicant</w:t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’s</w:t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71240E" w:rsidRPr="004F0DBC">
              <w:rPr>
                <w:rFonts w:ascii="Arial" w:hAnsi="Arial" w:cs="Arial"/>
                <w:sz w:val="20"/>
                <w:szCs w:val="20"/>
                <w:lang w:val="en-US"/>
              </w:rPr>
              <w:t>bank account details</w:t>
            </w:r>
          </w:p>
          <w:p w14:paraId="226DD465" w14:textId="77777777" w:rsidR="00565CD0" w:rsidRDefault="00565CD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DB1D2E" w14:textId="77777777" w:rsidR="00565CD0" w:rsidRDefault="00565CD0" w:rsidP="00565CD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65CD0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Provided in the Form approved by ITS CSD and disclosed on its website  (CSD-SBAD)</w:t>
            </w:r>
          </w:p>
          <w:p w14:paraId="20894C15" w14:textId="6A6CB7FC" w:rsidR="00565CD0" w:rsidRPr="00565CD0" w:rsidRDefault="00565CD0" w:rsidP="00565CD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4F0DBC" w:rsidRPr="00BB772A" w14:paraId="445B442C" w14:textId="77777777" w:rsidTr="00F92763">
        <w:trPr>
          <w:trHeight w:val="727"/>
        </w:trPr>
        <w:tc>
          <w:tcPr>
            <w:tcW w:w="4537" w:type="dxa"/>
            <w:vMerge/>
          </w:tcPr>
          <w:p w14:paraId="6ADF7137" w14:textId="77777777" w:rsidR="00D40823" w:rsidRPr="004F0DBC" w:rsidRDefault="00D40823" w:rsidP="007E6F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32" w:type="dxa"/>
            <w:vAlign w:val="center"/>
          </w:tcPr>
          <w:p w14:paraId="51268DB0" w14:textId="6732866C" w:rsidR="00565CD0" w:rsidRPr="00FB3B14" w:rsidRDefault="00D40823" w:rsidP="009F7E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0848D8">
              <w:rPr>
                <w:rFonts w:ascii="Arial" w:hAnsi="Arial" w:cs="Arial"/>
                <w:b/>
                <w:sz w:val="20"/>
                <w:szCs w:val="20"/>
              </w:rPr>
            </w:r>
            <w:r w:rsidR="000848D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="0071240E" w:rsidRPr="004F0DBC">
              <w:rPr>
                <w:rFonts w:ascii="Arial" w:hAnsi="Arial" w:cs="Arial"/>
                <w:sz w:val="20"/>
                <w:szCs w:val="20"/>
                <w:lang w:val="en-US"/>
              </w:rPr>
              <w:t>Applicant</w:t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’s</w:t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5F29EF" w:rsidRPr="00B939A7">
              <w:rPr>
                <w:rFonts w:ascii="Arial" w:hAnsi="Arial" w:cs="Arial"/>
                <w:sz w:val="20"/>
                <w:szCs w:val="20"/>
                <w:lang w:val="en-US"/>
              </w:rPr>
              <w:t>Trading and Clearing Account</w:t>
            </w:r>
            <w:r w:rsidR="005F29EF" w:rsidRPr="00B939A7" w:rsidDel="00D767E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1240E" w:rsidRPr="00B939A7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="0071240E" w:rsidRPr="00B939A7">
              <w:rPr>
                <w:rFonts w:ascii="Arial" w:hAnsi="Arial" w:cs="Arial"/>
                <w:sz w:val="20"/>
                <w:szCs w:val="20"/>
                <w:lang w:val="en-US"/>
              </w:rPr>
              <w:t>TCA</w:t>
            </w:r>
            <w:proofErr w:type="spellEnd"/>
            <w:r w:rsidR="0071240E" w:rsidRPr="00B939A7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r w:rsidRPr="00B939A7">
              <w:rPr>
                <w:rFonts w:ascii="Arial" w:hAnsi="Arial" w:cs="Arial"/>
                <w:sz w:val="20"/>
                <w:szCs w:val="20"/>
                <w:lang w:val="en-US"/>
              </w:rPr>
              <w:t xml:space="preserve">details opened with </w:t>
            </w:r>
            <w:r w:rsidRPr="00A473B5">
              <w:rPr>
                <w:rFonts w:ascii="Arial" w:hAnsi="Arial" w:cs="Arial"/>
                <w:sz w:val="20"/>
                <w:szCs w:val="20"/>
                <w:lang w:val="en-US"/>
              </w:rPr>
              <w:t>ITS CCP</w:t>
            </w:r>
          </w:p>
          <w:p w14:paraId="190733CF" w14:textId="6EBA2529" w:rsidR="00926FCA" w:rsidRPr="00294DF8" w:rsidRDefault="00926FCA" w:rsidP="009F7E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</w:p>
        </w:tc>
      </w:tr>
    </w:tbl>
    <w:p w14:paraId="647247A9" w14:textId="25EB98BD" w:rsidR="008748EC" w:rsidRPr="004F0DBC" w:rsidRDefault="008748EC" w:rsidP="008748EC">
      <w:pPr>
        <w:spacing w:after="0" w:line="240" w:lineRule="auto"/>
        <w:rPr>
          <w:rFonts w:ascii="Arial" w:hAnsi="Arial" w:cs="Arial"/>
          <w:sz w:val="20"/>
          <w:szCs w:val="20"/>
          <w:vertAlign w:val="superscript"/>
          <w:lang w:val="en-US"/>
        </w:rPr>
      </w:pPr>
    </w:p>
    <w:p w14:paraId="164743B4" w14:textId="77777777" w:rsidR="00123C5A" w:rsidRPr="00C64E4D" w:rsidRDefault="00123C5A" w:rsidP="00721B9E">
      <w:pPr>
        <w:spacing w:after="0" w:line="240" w:lineRule="auto"/>
        <w:ind w:left="-567" w:firstLine="567"/>
        <w:rPr>
          <w:rFonts w:ascii="Arial" w:hAnsi="Arial" w:cs="Arial"/>
          <w:sz w:val="20"/>
          <w:szCs w:val="20"/>
          <w:lang w:val="en-US"/>
        </w:rPr>
      </w:pPr>
    </w:p>
    <w:p w14:paraId="6F46E2DF" w14:textId="4615F11C" w:rsidR="00934FBC" w:rsidRPr="004F0DBC" w:rsidRDefault="00934FBC" w:rsidP="001825A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F0DBC">
        <w:rPr>
          <w:rFonts w:ascii="Arial" w:hAnsi="Arial" w:cs="Arial"/>
          <w:sz w:val="20"/>
          <w:szCs w:val="20"/>
          <w:lang w:val="en-US"/>
        </w:rPr>
        <w:t xml:space="preserve">I hereby request </w:t>
      </w:r>
      <w:r w:rsidR="00312117">
        <w:rPr>
          <w:rFonts w:ascii="Arial" w:hAnsi="Arial" w:cs="Arial"/>
          <w:sz w:val="20"/>
          <w:szCs w:val="20"/>
          <w:lang w:val="en-US"/>
        </w:rPr>
        <w:t xml:space="preserve">ITS </w:t>
      </w:r>
      <w:r w:rsidR="00312117" w:rsidRPr="001825A7">
        <w:rPr>
          <w:rFonts w:ascii="Arial" w:hAnsi="Arial" w:cs="Arial"/>
          <w:sz w:val="20"/>
          <w:szCs w:val="20"/>
          <w:lang w:val="en-US"/>
        </w:rPr>
        <w:t>Central Security Depository L</w:t>
      </w:r>
      <w:r w:rsidR="00312117">
        <w:rPr>
          <w:rFonts w:ascii="Arial" w:hAnsi="Arial" w:cs="Arial"/>
          <w:sz w:val="20"/>
          <w:szCs w:val="20"/>
          <w:lang w:val="en-US"/>
        </w:rPr>
        <w:t>imited</w:t>
      </w:r>
      <w:r w:rsidR="00312117" w:rsidRPr="001825A7">
        <w:rPr>
          <w:rFonts w:ascii="Arial" w:hAnsi="Arial" w:cs="Arial"/>
          <w:sz w:val="20"/>
          <w:szCs w:val="20"/>
          <w:lang w:val="en-US"/>
        </w:rPr>
        <w:t xml:space="preserve"> 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to appoint </w:t>
      </w:r>
      <w:r w:rsidR="00A473B5" w:rsidRPr="00926FCA">
        <w:rPr>
          <w:rFonts w:ascii="Arial" w:hAnsi="Arial" w:cs="Arial"/>
          <w:sz w:val="20"/>
          <w:szCs w:val="20"/>
          <w:lang w:val="en-US"/>
        </w:rPr>
        <w:t xml:space="preserve">Private </w:t>
      </w:r>
      <w:r w:rsidR="00C51392" w:rsidRPr="00926FCA">
        <w:rPr>
          <w:rFonts w:ascii="Arial" w:hAnsi="Arial" w:cs="Arial"/>
          <w:sz w:val="20"/>
          <w:szCs w:val="20"/>
          <w:lang w:val="en-US"/>
        </w:rPr>
        <w:t>Company</w:t>
      </w:r>
      <w:r w:rsidR="00A473B5" w:rsidRPr="00926FCA">
        <w:rPr>
          <w:rFonts w:ascii="Arial" w:hAnsi="Arial" w:cs="Arial"/>
          <w:sz w:val="20"/>
          <w:szCs w:val="20"/>
          <w:lang w:val="en-US"/>
        </w:rPr>
        <w:t xml:space="preserve"> “</w:t>
      </w:r>
      <w:r w:rsidR="00C51392" w:rsidRPr="00926FCA">
        <w:rPr>
          <w:rFonts w:ascii="Arial" w:hAnsi="Arial" w:cs="Arial"/>
          <w:sz w:val="20"/>
          <w:szCs w:val="20"/>
          <w:lang w:val="en-US"/>
        </w:rPr>
        <w:t>International</w:t>
      </w:r>
      <w:r w:rsidR="00A473B5" w:rsidRPr="00926FCA">
        <w:rPr>
          <w:rFonts w:ascii="Arial" w:hAnsi="Arial" w:cs="Arial"/>
          <w:sz w:val="20"/>
          <w:szCs w:val="20"/>
          <w:lang w:val="en-US"/>
        </w:rPr>
        <w:t xml:space="preserve"> Trading System Limited”</w:t>
      </w:r>
      <w:r w:rsidR="00A027DF" w:rsidRPr="00926FCA">
        <w:rPr>
          <w:rFonts w:ascii="Arial" w:hAnsi="Arial" w:cs="Arial"/>
          <w:sz w:val="20"/>
          <w:szCs w:val="20"/>
          <w:lang w:val="en-US"/>
        </w:rPr>
        <w:t xml:space="preserve"> </w:t>
      </w:r>
      <w:r w:rsidRPr="00926FCA">
        <w:rPr>
          <w:rFonts w:ascii="Arial" w:hAnsi="Arial" w:cs="Arial"/>
          <w:sz w:val="20"/>
          <w:szCs w:val="20"/>
          <w:lang w:val="en-US"/>
        </w:rPr>
        <w:t xml:space="preserve">as the </w:t>
      </w:r>
      <w:r w:rsidR="00037171" w:rsidRPr="00926FCA">
        <w:rPr>
          <w:rFonts w:ascii="Arial" w:hAnsi="Arial" w:cs="Arial"/>
          <w:sz w:val="20"/>
          <w:szCs w:val="20"/>
          <w:lang w:val="en-US"/>
        </w:rPr>
        <w:t>o</w:t>
      </w:r>
      <w:r w:rsidRPr="00926FCA">
        <w:rPr>
          <w:rFonts w:ascii="Arial" w:hAnsi="Arial" w:cs="Arial"/>
          <w:sz w:val="20"/>
          <w:szCs w:val="20"/>
          <w:lang w:val="en-US"/>
        </w:rPr>
        <w:t xml:space="preserve">perator of the Trading Account </w:t>
      </w:r>
    </w:p>
    <w:p w14:paraId="0D7A89DD" w14:textId="0ECAF892" w:rsidR="00934FBC" w:rsidRPr="004F0DBC" w:rsidRDefault="00934FBC" w:rsidP="00721B9E">
      <w:pPr>
        <w:spacing w:after="0" w:line="240" w:lineRule="auto"/>
        <w:ind w:left="-567" w:firstLine="567"/>
        <w:rPr>
          <w:rFonts w:ascii="Arial" w:hAnsi="Arial" w:cs="Arial"/>
          <w:sz w:val="20"/>
          <w:szCs w:val="20"/>
          <w:lang w:val="en-US"/>
        </w:rPr>
      </w:pPr>
    </w:p>
    <w:p w14:paraId="19651D10" w14:textId="3D3628D9" w:rsidR="009F3722" w:rsidRPr="004F0DBC" w:rsidRDefault="009F3722" w:rsidP="001825A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F0DBC">
        <w:rPr>
          <w:rFonts w:ascii="Arial" w:hAnsi="Arial" w:cs="Arial"/>
          <w:sz w:val="20"/>
          <w:szCs w:val="20"/>
          <w:lang w:val="en-US"/>
        </w:rPr>
        <w:t xml:space="preserve">I hereby request </w:t>
      </w:r>
      <w:r w:rsidR="00312117">
        <w:rPr>
          <w:rFonts w:ascii="Arial" w:hAnsi="Arial" w:cs="Arial"/>
          <w:sz w:val="20"/>
          <w:szCs w:val="20"/>
          <w:lang w:val="en-US"/>
        </w:rPr>
        <w:t xml:space="preserve">ITS </w:t>
      </w:r>
      <w:r w:rsidR="00312117" w:rsidRPr="001825A7">
        <w:rPr>
          <w:rFonts w:ascii="Arial" w:hAnsi="Arial" w:cs="Arial"/>
          <w:sz w:val="20"/>
          <w:szCs w:val="20"/>
          <w:lang w:val="en-US"/>
        </w:rPr>
        <w:t>Central Security Depository L</w:t>
      </w:r>
      <w:r w:rsidR="00312117">
        <w:rPr>
          <w:rFonts w:ascii="Arial" w:hAnsi="Arial" w:cs="Arial"/>
          <w:sz w:val="20"/>
          <w:szCs w:val="20"/>
          <w:lang w:val="en-US"/>
        </w:rPr>
        <w:t>imited</w:t>
      </w:r>
      <w:r w:rsidR="00312117" w:rsidRPr="001825A7">
        <w:rPr>
          <w:rFonts w:ascii="Arial" w:hAnsi="Arial" w:cs="Arial"/>
          <w:sz w:val="20"/>
          <w:szCs w:val="20"/>
          <w:lang w:val="en-US"/>
        </w:rPr>
        <w:t xml:space="preserve"> 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to exchange information/documents in accordance with the Business Rules &amp; Procedures </w:t>
      </w:r>
      <w:r w:rsidR="00913D04" w:rsidRPr="004F0DBC">
        <w:rPr>
          <w:rFonts w:ascii="Arial" w:hAnsi="Arial" w:cs="Arial"/>
          <w:sz w:val="20"/>
          <w:szCs w:val="20"/>
          <w:lang w:val="en-US"/>
        </w:rPr>
        <w:t>via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 EDMS and send the Applicant reports/notifications on depository operations to the following </w:t>
      </w:r>
      <w:r w:rsidR="00445DD8" w:rsidRPr="004F0DBC">
        <w:rPr>
          <w:rFonts w:ascii="Arial" w:hAnsi="Arial" w:cs="Arial"/>
          <w:sz w:val="20"/>
          <w:szCs w:val="20"/>
          <w:lang w:val="en-US"/>
        </w:rPr>
        <w:t>EDMS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 address </w:t>
      </w:r>
      <w:r w:rsidR="00B1259A" w:rsidRPr="004F0DBC">
        <w:rPr>
          <w:rFonts w:ascii="Arial" w:hAnsi="Arial" w:cs="Arial"/>
          <w:sz w:val="20"/>
          <w:szCs w:val="20"/>
          <w:lang w:val="en-US"/>
        </w:rPr>
        <w:t>[</w:t>
      </w:r>
      <w:r w:rsidR="00B1259A" w:rsidRPr="004F0DB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1259A" w:rsidRPr="004F0DBC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B1259A" w:rsidRPr="004F0DBC">
        <w:rPr>
          <w:rFonts w:ascii="Arial" w:hAnsi="Arial" w:cs="Arial"/>
          <w:sz w:val="20"/>
          <w:szCs w:val="20"/>
        </w:rPr>
      </w:r>
      <w:r w:rsidR="00B1259A" w:rsidRPr="004F0DBC">
        <w:rPr>
          <w:rFonts w:ascii="Arial" w:hAnsi="Arial" w:cs="Arial"/>
          <w:sz w:val="20"/>
          <w:szCs w:val="20"/>
        </w:rPr>
        <w:fldChar w:fldCharType="separate"/>
      </w:r>
      <w:r w:rsidR="00B1259A" w:rsidRPr="004F0DBC">
        <w:rPr>
          <w:rFonts w:ascii="Arial" w:hAnsi="Arial" w:cs="Arial"/>
          <w:noProof/>
          <w:sz w:val="20"/>
          <w:szCs w:val="20"/>
        </w:rPr>
        <w:t> </w:t>
      </w:r>
      <w:r w:rsidR="00B1259A" w:rsidRPr="004F0DBC">
        <w:rPr>
          <w:rFonts w:ascii="Arial" w:hAnsi="Arial" w:cs="Arial"/>
          <w:noProof/>
          <w:sz w:val="20"/>
          <w:szCs w:val="20"/>
        </w:rPr>
        <w:t> </w:t>
      </w:r>
      <w:r w:rsidR="00B1259A" w:rsidRPr="004F0DBC">
        <w:rPr>
          <w:rFonts w:ascii="Arial" w:hAnsi="Arial" w:cs="Arial"/>
          <w:noProof/>
          <w:sz w:val="20"/>
          <w:szCs w:val="20"/>
        </w:rPr>
        <w:t> </w:t>
      </w:r>
      <w:r w:rsidR="00B1259A" w:rsidRPr="004F0DBC">
        <w:rPr>
          <w:rFonts w:ascii="Arial" w:hAnsi="Arial" w:cs="Arial"/>
          <w:noProof/>
          <w:sz w:val="20"/>
          <w:szCs w:val="20"/>
        </w:rPr>
        <w:t> </w:t>
      </w:r>
      <w:r w:rsidR="00B1259A" w:rsidRPr="004F0DBC">
        <w:rPr>
          <w:rFonts w:ascii="Arial" w:hAnsi="Arial" w:cs="Arial"/>
          <w:noProof/>
          <w:sz w:val="20"/>
          <w:szCs w:val="20"/>
        </w:rPr>
        <w:t> </w:t>
      </w:r>
      <w:r w:rsidR="00B1259A" w:rsidRPr="004F0DBC">
        <w:rPr>
          <w:rFonts w:ascii="Arial" w:hAnsi="Arial" w:cs="Arial"/>
          <w:sz w:val="20"/>
          <w:szCs w:val="20"/>
        </w:rPr>
        <w:fldChar w:fldCharType="end"/>
      </w:r>
      <w:r w:rsidR="00B1259A" w:rsidRPr="004F0DBC">
        <w:rPr>
          <w:rFonts w:ascii="Arial" w:hAnsi="Arial" w:cs="Arial"/>
          <w:sz w:val="20"/>
          <w:szCs w:val="20"/>
          <w:lang w:val="en-US"/>
        </w:rPr>
        <w:t>]</w:t>
      </w:r>
      <w:r w:rsidR="00312117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6364B8A4" w14:textId="77777777" w:rsidR="00615705" w:rsidRPr="004F0DBC" w:rsidRDefault="00615705" w:rsidP="001825A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1B0ED53" w14:textId="77777777" w:rsidR="00E85331" w:rsidRPr="004F0DBC" w:rsidRDefault="00E85331" w:rsidP="00E85331">
      <w:pPr>
        <w:spacing w:after="0" w:line="240" w:lineRule="auto"/>
        <w:rPr>
          <w:rFonts w:ascii="Arial" w:hAnsi="Arial" w:cs="Arial"/>
          <w:sz w:val="20"/>
          <w:u w:val="single"/>
          <w:lang w:val="en-US"/>
        </w:rPr>
      </w:pPr>
      <w:r w:rsidRPr="004F0DBC">
        <w:rPr>
          <w:rFonts w:ascii="Arial" w:hAnsi="Arial" w:cs="Arial"/>
          <w:sz w:val="20"/>
          <w:u w:val="single"/>
          <w:lang w:val="en-US"/>
        </w:rPr>
        <w:tab/>
      </w:r>
      <w:r w:rsidRPr="004F0DBC">
        <w:rPr>
          <w:rFonts w:ascii="Arial" w:hAnsi="Arial" w:cs="Arial"/>
          <w:sz w:val="20"/>
          <w:u w:val="single"/>
          <w:lang w:val="en-US"/>
        </w:rPr>
        <w:tab/>
      </w:r>
      <w:r w:rsidRPr="004F0DBC">
        <w:rPr>
          <w:rFonts w:ascii="Arial" w:hAnsi="Arial" w:cs="Arial"/>
          <w:sz w:val="20"/>
          <w:u w:val="single"/>
          <w:lang w:val="en-US"/>
        </w:rPr>
        <w:tab/>
      </w:r>
    </w:p>
    <w:p w14:paraId="0B8D7235" w14:textId="77777777" w:rsidR="00E85331" w:rsidRPr="004F0DBC" w:rsidRDefault="00E85331" w:rsidP="00E85331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4F0DB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0DBC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4F0DBC">
        <w:rPr>
          <w:rFonts w:ascii="Arial" w:hAnsi="Arial" w:cs="Arial"/>
          <w:sz w:val="20"/>
          <w:szCs w:val="20"/>
        </w:rPr>
      </w:r>
      <w:r w:rsidRPr="004F0DBC">
        <w:rPr>
          <w:rFonts w:ascii="Arial" w:hAnsi="Arial" w:cs="Arial"/>
          <w:sz w:val="20"/>
          <w:szCs w:val="20"/>
        </w:rPr>
        <w:fldChar w:fldCharType="separate"/>
      </w:r>
      <w:r w:rsidRPr="004F0DBC">
        <w:rPr>
          <w:rFonts w:ascii="Arial" w:hAnsi="Arial" w:cs="Arial"/>
          <w:noProof/>
          <w:sz w:val="20"/>
          <w:szCs w:val="20"/>
        </w:rPr>
        <w:t>[Signature]</w:t>
      </w:r>
      <w:r w:rsidRPr="004F0DBC">
        <w:rPr>
          <w:rFonts w:ascii="Arial" w:hAnsi="Arial" w:cs="Arial"/>
          <w:sz w:val="20"/>
          <w:szCs w:val="20"/>
        </w:rPr>
        <w:fldChar w:fldCharType="end"/>
      </w:r>
      <w:r w:rsidRPr="004F0DBC">
        <w:rPr>
          <w:rFonts w:ascii="Arial" w:hAnsi="Arial" w:cs="Arial"/>
          <w:sz w:val="20"/>
          <w:lang w:val="en-US"/>
        </w:rPr>
        <w:t xml:space="preserve"> </w:t>
      </w:r>
    </w:p>
    <w:p w14:paraId="4C6301B1" w14:textId="77777777" w:rsidR="00E85331" w:rsidRPr="004F0DBC" w:rsidRDefault="00E85331" w:rsidP="00E85331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4F0DB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0DBC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4F0DBC">
        <w:rPr>
          <w:rFonts w:ascii="Arial" w:hAnsi="Arial" w:cs="Arial"/>
          <w:sz w:val="20"/>
          <w:szCs w:val="20"/>
        </w:rPr>
      </w:r>
      <w:r w:rsidRPr="004F0DBC">
        <w:rPr>
          <w:rFonts w:ascii="Arial" w:hAnsi="Arial" w:cs="Arial"/>
          <w:sz w:val="20"/>
          <w:szCs w:val="20"/>
        </w:rPr>
        <w:fldChar w:fldCharType="separate"/>
      </w:r>
      <w:r w:rsidRPr="004F0DBC">
        <w:rPr>
          <w:rFonts w:ascii="Arial" w:hAnsi="Arial" w:cs="Arial"/>
          <w:noProof/>
          <w:sz w:val="20"/>
          <w:szCs w:val="20"/>
        </w:rPr>
        <w:t>[Name]</w:t>
      </w:r>
      <w:r w:rsidRPr="004F0DBC">
        <w:rPr>
          <w:rFonts w:ascii="Arial" w:hAnsi="Arial" w:cs="Arial"/>
          <w:sz w:val="20"/>
          <w:szCs w:val="20"/>
        </w:rPr>
        <w:fldChar w:fldCharType="end"/>
      </w:r>
      <w:r w:rsidRPr="004F0DBC">
        <w:rPr>
          <w:rFonts w:ascii="Arial" w:hAnsi="Arial" w:cs="Arial"/>
          <w:sz w:val="20"/>
          <w:lang w:val="en-US"/>
        </w:rPr>
        <w:t xml:space="preserve"> </w:t>
      </w:r>
    </w:p>
    <w:p w14:paraId="4C1766A5" w14:textId="42D71108" w:rsidR="00741EB9" w:rsidRPr="004F0DBC" w:rsidRDefault="00E85331" w:rsidP="00741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F0DB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0DBC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4F0DBC">
        <w:rPr>
          <w:rFonts w:ascii="Arial" w:hAnsi="Arial" w:cs="Arial"/>
          <w:sz w:val="20"/>
          <w:szCs w:val="20"/>
        </w:rPr>
      </w:r>
      <w:r w:rsidRPr="004F0DBC">
        <w:rPr>
          <w:rFonts w:ascii="Arial" w:hAnsi="Arial" w:cs="Arial"/>
          <w:sz w:val="20"/>
          <w:szCs w:val="20"/>
        </w:rPr>
        <w:fldChar w:fldCharType="separate"/>
      </w:r>
      <w:r w:rsidRPr="004F0DBC">
        <w:rPr>
          <w:rFonts w:ascii="Arial" w:hAnsi="Arial" w:cs="Arial"/>
          <w:noProof/>
          <w:sz w:val="20"/>
          <w:szCs w:val="20"/>
        </w:rPr>
        <w:t>[Position]</w:t>
      </w:r>
      <w:r w:rsidRPr="004F0DBC">
        <w:rPr>
          <w:rFonts w:ascii="Arial" w:hAnsi="Arial" w:cs="Arial"/>
          <w:sz w:val="20"/>
          <w:szCs w:val="20"/>
        </w:rPr>
        <w:fldChar w:fldCharType="end"/>
      </w:r>
    </w:p>
    <w:sectPr w:rsidR="00741EB9" w:rsidRPr="004F0DBC" w:rsidSect="00051B34">
      <w:headerReference w:type="default" r:id="rId8"/>
      <w:footerReference w:type="default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5EE544" w16cex:dateUtc="2026-04-28T15:39:00Z"/>
  <w16cex:commentExtensible w16cex:durableId="7BBD1878" w16cex:dateUtc="2026-04-29T14:28:00Z"/>
  <w16cex:commentExtensible w16cex:durableId="132DFF59" w16cex:dateUtc="2026-04-28T15:35:00Z"/>
  <w16cex:commentExtensible w16cex:durableId="27E9F654" w16cex:dateUtc="2026-04-29T14:28:00Z"/>
  <w16cex:commentExtensible w16cex:durableId="379A5C9E" w16cex:dateUtc="2026-04-28T15:35:00Z"/>
  <w16cex:commentExtensible w16cex:durableId="6975689D" w16cex:dateUtc="2026-04-29T14:29:00Z"/>
  <w16cex:commentExtensible w16cex:durableId="6A363FDC" w16cex:dateUtc="2026-04-28T15:36:00Z"/>
  <w16cex:commentExtensible w16cex:durableId="0D7592D9" w16cex:dateUtc="2026-04-29T14:29:00Z"/>
  <w16cex:commentExtensible w16cex:durableId="78B4061A" w16cex:dateUtc="2026-04-28T15:37:00Z"/>
  <w16cex:commentExtensible w16cex:durableId="7FC22594" w16cex:dateUtc="2026-04-29T1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DE0C60" w16cid:durableId="3EDE0C60"/>
  <w16cid:commentId w16cid:paraId="155DB36C" w16cid:durableId="675EE544"/>
  <w16cid:commentId w16cid:paraId="3C371975" w16cid:durableId="3C371975"/>
  <w16cid:commentId w16cid:paraId="757BD212" w16cid:durableId="7BBD1878"/>
  <w16cid:commentId w16cid:paraId="1E29286B" w16cid:durableId="132DFF59"/>
  <w16cid:commentId w16cid:paraId="0FED5AD2" w16cid:durableId="0FED5AD2"/>
  <w16cid:commentId w16cid:paraId="1B52F163" w16cid:durableId="27E9F654"/>
  <w16cid:commentId w16cid:paraId="164CF586" w16cid:durableId="379A5C9E"/>
  <w16cid:commentId w16cid:paraId="7475C5DB" w16cid:durableId="7475C5DB"/>
  <w16cid:commentId w16cid:paraId="0141D673" w16cid:durableId="6975689D"/>
  <w16cid:commentId w16cid:paraId="0B4F3D8F" w16cid:durableId="6A363FDC"/>
  <w16cid:commentId w16cid:paraId="14A5E7B7" w16cid:durableId="14A5E7B7"/>
  <w16cid:commentId w16cid:paraId="5447D489" w16cid:durableId="0D7592D9"/>
  <w16cid:commentId w16cid:paraId="4532D915" w16cid:durableId="78B4061A"/>
  <w16cid:commentId w16cid:paraId="203B5239" w16cid:durableId="203B5239"/>
  <w16cid:commentId w16cid:paraId="5C3DC1A9" w16cid:durableId="7FC225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F14E7" w14:textId="77777777" w:rsidR="000848D8" w:rsidRDefault="000848D8" w:rsidP="00E20124">
      <w:pPr>
        <w:spacing w:after="0" w:line="240" w:lineRule="auto"/>
      </w:pPr>
      <w:r>
        <w:separator/>
      </w:r>
    </w:p>
  </w:endnote>
  <w:endnote w:type="continuationSeparator" w:id="0">
    <w:p w14:paraId="6859B110" w14:textId="77777777" w:rsidR="000848D8" w:rsidRDefault="000848D8" w:rsidP="00E2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ira Sans Light">
    <w:altName w:val="Corbel"/>
    <w:charset w:val="00"/>
    <w:family w:val="swiss"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24845" w14:textId="77777777" w:rsidR="00B415F1" w:rsidRPr="00C3693A" w:rsidRDefault="00B415F1" w:rsidP="00C3693A">
    <w:pPr>
      <w:pStyle w:val="ab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2E652" w14:textId="77777777" w:rsidR="000848D8" w:rsidRDefault="000848D8" w:rsidP="00E20124">
      <w:pPr>
        <w:spacing w:after="0" w:line="240" w:lineRule="auto"/>
      </w:pPr>
      <w:r>
        <w:separator/>
      </w:r>
    </w:p>
  </w:footnote>
  <w:footnote w:type="continuationSeparator" w:id="0">
    <w:p w14:paraId="2EB4C4E9" w14:textId="77777777" w:rsidR="000848D8" w:rsidRDefault="000848D8" w:rsidP="00E20124">
      <w:pPr>
        <w:spacing w:after="0" w:line="240" w:lineRule="auto"/>
      </w:pPr>
      <w:r>
        <w:continuationSeparator/>
      </w:r>
    </w:p>
  </w:footnote>
  <w:footnote w:id="1">
    <w:p w14:paraId="661AA9EB" w14:textId="4595442E" w:rsidR="00D450F6" w:rsidRPr="00697A3A" w:rsidRDefault="00D450F6" w:rsidP="00D450F6">
      <w:pPr>
        <w:pStyle w:val="ae"/>
        <w:jc w:val="both"/>
        <w:rPr>
          <w:sz w:val="16"/>
          <w:szCs w:val="16"/>
          <w:lang w:val="en-US"/>
        </w:rPr>
      </w:pPr>
      <w:r w:rsidRPr="00697A3A">
        <w:rPr>
          <w:rStyle w:val="af0"/>
          <w:sz w:val="16"/>
          <w:szCs w:val="16"/>
        </w:rPr>
        <w:footnoteRef/>
      </w:r>
      <w:r w:rsidRPr="00697A3A">
        <w:rPr>
          <w:rFonts w:ascii="Arial" w:hAnsi="Arial" w:cs="Arial"/>
          <w:sz w:val="16"/>
          <w:szCs w:val="16"/>
          <w:lang w:val="en-US"/>
        </w:rPr>
        <w:t xml:space="preserve"> A Guarantee Account may only be opened for the purpose of recording securities contributed by the Clearing Participant to the Default Fund</w:t>
      </w:r>
      <w:r w:rsidRPr="00A473B5">
        <w:rPr>
          <w:rFonts w:ascii="Arial" w:hAnsi="Arial" w:cs="Arial"/>
          <w:sz w:val="16"/>
          <w:szCs w:val="16"/>
          <w:lang w:val="en-US"/>
        </w:rPr>
        <w:t>.</w:t>
      </w:r>
      <w:r w:rsidRPr="00697A3A">
        <w:rPr>
          <w:rFonts w:ascii="Arial" w:hAnsi="Arial" w:cs="Arial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41858" w14:textId="1D80FE65" w:rsidR="00A057F9" w:rsidRPr="00A057F9" w:rsidRDefault="00A057F9" w:rsidP="00A057F9">
    <w:pPr>
      <w:pStyle w:val="a9"/>
      <w:jc w:val="right"/>
      <w:rPr>
        <w:rFonts w:ascii="Times New Roman" w:hAnsi="Times New Roman"/>
        <w:b/>
        <w:sz w:val="20"/>
        <w:szCs w:val="20"/>
        <w:lang w:val="en-US"/>
      </w:rPr>
    </w:pPr>
    <w:r w:rsidRPr="0080535D">
      <w:rPr>
        <w:rFonts w:ascii="Times New Roman" w:hAnsi="Times New Roman"/>
        <w:b/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2FBB66FF" wp14:editId="436B1376">
          <wp:simplePos x="0" y="0"/>
          <wp:positionH relativeFrom="column">
            <wp:posOffset>-345440</wp:posOffset>
          </wp:positionH>
          <wp:positionV relativeFrom="paragraph">
            <wp:posOffset>-21894</wp:posOffset>
          </wp:positionV>
          <wp:extent cx="631190" cy="381000"/>
          <wp:effectExtent l="0" t="0" r="0" b="0"/>
          <wp:wrapSquare wrapText="bothSides"/>
          <wp:docPr id="1" name="Рисунок 1" descr="\\globus.itsx.office.kz\ITS CSD\11_Бланки\logo cs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lobus.itsx.office.kz\ITS CSD\11_Бланки\logo cs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1EFF">
      <w:rPr>
        <w:rFonts w:ascii="Times New Roman" w:hAnsi="Times New Roman"/>
        <w:b/>
        <w:sz w:val="20"/>
        <w:szCs w:val="20"/>
        <w:lang w:val="en-US"/>
      </w:rPr>
      <w:t xml:space="preserve">CSD – </w:t>
    </w:r>
    <w:r>
      <w:rPr>
        <w:rFonts w:ascii="Times New Roman" w:hAnsi="Times New Roman"/>
        <w:b/>
        <w:sz w:val="20"/>
        <w:szCs w:val="20"/>
        <w:lang w:val="en-US"/>
      </w:rPr>
      <w:t>AAF</w:t>
    </w:r>
  </w:p>
  <w:p w14:paraId="4AD6DBCF" w14:textId="1E9BB5B3" w:rsidR="00A057F9" w:rsidRPr="000E1EFF" w:rsidRDefault="00A057F9" w:rsidP="00A057F9">
    <w:pPr>
      <w:pStyle w:val="a9"/>
      <w:jc w:val="right"/>
      <w:rPr>
        <w:rFonts w:ascii="Times New Roman" w:hAnsi="Times New Roman"/>
        <w:b/>
        <w:sz w:val="20"/>
        <w:szCs w:val="20"/>
        <w:lang w:val="en-US"/>
      </w:rPr>
    </w:pPr>
    <w:r>
      <w:rPr>
        <w:rFonts w:ascii="Times New Roman" w:hAnsi="Times New Roman"/>
        <w:b/>
        <w:sz w:val="20"/>
        <w:szCs w:val="20"/>
        <w:lang w:val="en-US"/>
      </w:rPr>
      <w:t>Applicant Application Form</w:t>
    </w:r>
    <w:r w:rsidRPr="000E1EFF">
      <w:rPr>
        <w:rFonts w:ascii="Times New Roman" w:hAnsi="Times New Roman"/>
        <w:b/>
        <w:sz w:val="20"/>
        <w:szCs w:val="20"/>
        <w:lang w:val="en-US"/>
      </w:rPr>
      <w:t xml:space="preserve"> </w:t>
    </w:r>
    <w:r w:rsidRPr="000E1EFF">
      <w:rPr>
        <w:rFonts w:ascii="Times New Roman" w:hAnsi="Times New Roman"/>
        <w:b/>
        <w:sz w:val="20"/>
        <w:szCs w:val="20"/>
        <w:lang w:val="en-US"/>
      </w:rPr>
      <w:br/>
      <w:t>to ITS CSD Business Rules and Procedures</w:t>
    </w:r>
  </w:p>
  <w:p w14:paraId="3AE88D4D" w14:textId="23CCD3D9" w:rsidR="00165CAF" w:rsidRPr="00A057F9" w:rsidRDefault="00165CAF" w:rsidP="00A057F9">
    <w:pPr>
      <w:pStyle w:val="a9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E0678"/>
    <w:multiLevelType w:val="hybridMultilevel"/>
    <w:tmpl w:val="E9E8FC5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2BD71094"/>
    <w:multiLevelType w:val="hybridMultilevel"/>
    <w:tmpl w:val="6EA0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13B47"/>
    <w:multiLevelType w:val="hybridMultilevel"/>
    <w:tmpl w:val="A88227F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A6"/>
    <w:rsid w:val="00000771"/>
    <w:rsid w:val="000059B3"/>
    <w:rsid w:val="0001602D"/>
    <w:rsid w:val="00037171"/>
    <w:rsid w:val="00042726"/>
    <w:rsid w:val="00044E5A"/>
    <w:rsid w:val="00050646"/>
    <w:rsid w:val="00050EF2"/>
    <w:rsid w:val="00051B34"/>
    <w:rsid w:val="00054DB0"/>
    <w:rsid w:val="00061D41"/>
    <w:rsid w:val="00065ECB"/>
    <w:rsid w:val="00066131"/>
    <w:rsid w:val="000665CC"/>
    <w:rsid w:val="00071CE9"/>
    <w:rsid w:val="00073389"/>
    <w:rsid w:val="00076CF1"/>
    <w:rsid w:val="00080AB9"/>
    <w:rsid w:val="000848D8"/>
    <w:rsid w:val="00085428"/>
    <w:rsid w:val="000A0E65"/>
    <w:rsid w:val="000A3542"/>
    <w:rsid w:val="000B491A"/>
    <w:rsid w:val="000B57B9"/>
    <w:rsid w:val="000C05B1"/>
    <w:rsid w:val="000C3827"/>
    <w:rsid w:val="000C563B"/>
    <w:rsid w:val="000D7075"/>
    <w:rsid w:val="000E3995"/>
    <w:rsid w:val="000F40B7"/>
    <w:rsid w:val="000F5050"/>
    <w:rsid w:val="000F5701"/>
    <w:rsid w:val="000F66B4"/>
    <w:rsid w:val="00123C5A"/>
    <w:rsid w:val="00133EF0"/>
    <w:rsid w:val="0013512C"/>
    <w:rsid w:val="0013778F"/>
    <w:rsid w:val="00141641"/>
    <w:rsid w:val="0014181A"/>
    <w:rsid w:val="001456C1"/>
    <w:rsid w:val="00151654"/>
    <w:rsid w:val="00155216"/>
    <w:rsid w:val="001575C8"/>
    <w:rsid w:val="00165CAF"/>
    <w:rsid w:val="001679BF"/>
    <w:rsid w:val="00171B8D"/>
    <w:rsid w:val="001825A7"/>
    <w:rsid w:val="00185104"/>
    <w:rsid w:val="00187AD8"/>
    <w:rsid w:val="001A39F6"/>
    <w:rsid w:val="001A597A"/>
    <w:rsid w:val="001A695F"/>
    <w:rsid w:val="001C394E"/>
    <w:rsid w:val="001C473D"/>
    <w:rsid w:val="001D05AE"/>
    <w:rsid w:val="001D3881"/>
    <w:rsid w:val="001E081D"/>
    <w:rsid w:val="001E20F3"/>
    <w:rsid w:val="001E578A"/>
    <w:rsid w:val="001F1299"/>
    <w:rsid w:val="001F1A3C"/>
    <w:rsid w:val="001F3738"/>
    <w:rsid w:val="00215093"/>
    <w:rsid w:val="00230875"/>
    <w:rsid w:val="00233FC2"/>
    <w:rsid w:val="00241F70"/>
    <w:rsid w:val="00256ED9"/>
    <w:rsid w:val="00256EF2"/>
    <w:rsid w:val="0026301D"/>
    <w:rsid w:val="002738FE"/>
    <w:rsid w:val="00294DF8"/>
    <w:rsid w:val="002A519C"/>
    <w:rsid w:val="002A71A6"/>
    <w:rsid w:val="002B39C7"/>
    <w:rsid w:val="002B69EB"/>
    <w:rsid w:val="002B7539"/>
    <w:rsid w:val="002D3A46"/>
    <w:rsid w:val="002E6B6D"/>
    <w:rsid w:val="002F06A0"/>
    <w:rsid w:val="002F4288"/>
    <w:rsid w:val="002F50D3"/>
    <w:rsid w:val="002F6CE2"/>
    <w:rsid w:val="00301BD3"/>
    <w:rsid w:val="003064E9"/>
    <w:rsid w:val="00312117"/>
    <w:rsid w:val="00316BF2"/>
    <w:rsid w:val="00321C61"/>
    <w:rsid w:val="003267CE"/>
    <w:rsid w:val="00331285"/>
    <w:rsid w:val="0033196B"/>
    <w:rsid w:val="0033238F"/>
    <w:rsid w:val="003339DD"/>
    <w:rsid w:val="003453BE"/>
    <w:rsid w:val="00346C28"/>
    <w:rsid w:val="003472F3"/>
    <w:rsid w:val="0035181B"/>
    <w:rsid w:val="00354DA5"/>
    <w:rsid w:val="00356EAE"/>
    <w:rsid w:val="003603A1"/>
    <w:rsid w:val="003816D4"/>
    <w:rsid w:val="003940A9"/>
    <w:rsid w:val="003A35CA"/>
    <w:rsid w:val="003B4B10"/>
    <w:rsid w:val="003C1D49"/>
    <w:rsid w:val="003C67D7"/>
    <w:rsid w:val="003F3D60"/>
    <w:rsid w:val="00405404"/>
    <w:rsid w:val="004079A9"/>
    <w:rsid w:val="00407F01"/>
    <w:rsid w:val="00425D48"/>
    <w:rsid w:val="0043362F"/>
    <w:rsid w:val="00440802"/>
    <w:rsid w:val="00444BF2"/>
    <w:rsid w:val="00445DD8"/>
    <w:rsid w:val="004465BE"/>
    <w:rsid w:val="00447AD3"/>
    <w:rsid w:val="00457281"/>
    <w:rsid w:val="00457818"/>
    <w:rsid w:val="00457A04"/>
    <w:rsid w:val="004667CF"/>
    <w:rsid w:val="00467672"/>
    <w:rsid w:val="0048117E"/>
    <w:rsid w:val="00484AB7"/>
    <w:rsid w:val="004A1268"/>
    <w:rsid w:val="004B32FB"/>
    <w:rsid w:val="004B6FD0"/>
    <w:rsid w:val="004B751B"/>
    <w:rsid w:val="004C1C13"/>
    <w:rsid w:val="004C1C6E"/>
    <w:rsid w:val="004C46F3"/>
    <w:rsid w:val="004C7355"/>
    <w:rsid w:val="004D3F52"/>
    <w:rsid w:val="004D73D7"/>
    <w:rsid w:val="004E35D8"/>
    <w:rsid w:val="004F0DBC"/>
    <w:rsid w:val="004F29E2"/>
    <w:rsid w:val="005100C3"/>
    <w:rsid w:val="00510101"/>
    <w:rsid w:val="00513511"/>
    <w:rsid w:val="00513C7E"/>
    <w:rsid w:val="0051530D"/>
    <w:rsid w:val="00523BB8"/>
    <w:rsid w:val="00526D2B"/>
    <w:rsid w:val="00547B31"/>
    <w:rsid w:val="00554340"/>
    <w:rsid w:val="00561BDB"/>
    <w:rsid w:val="005628CC"/>
    <w:rsid w:val="00564922"/>
    <w:rsid w:val="00565CD0"/>
    <w:rsid w:val="00584CD6"/>
    <w:rsid w:val="0059413F"/>
    <w:rsid w:val="00596A06"/>
    <w:rsid w:val="005B2130"/>
    <w:rsid w:val="005B3062"/>
    <w:rsid w:val="005B5274"/>
    <w:rsid w:val="005B58EA"/>
    <w:rsid w:val="005B6932"/>
    <w:rsid w:val="005D2D7D"/>
    <w:rsid w:val="005E64DC"/>
    <w:rsid w:val="005F21E9"/>
    <w:rsid w:val="005F29EF"/>
    <w:rsid w:val="005F3BBF"/>
    <w:rsid w:val="006064E6"/>
    <w:rsid w:val="00606E49"/>
    <w:rsid w:val="00615705"/>
    <w:rsid w:val="00615921"/>
    <w:rsid w:val="006257F6"/>
    <w:rsid w:val="00637842"/>
    <w:rsid w:val="00643ACA"/>
    <w:rsid w:val="006565B7"/>
    <w:rsid w:val="0066124E"/>
    <w:rsid w:val="00663933"/>
    <w:rsid w:val="00665FF0"/>
    <w:rsid w:val="00684866"/>
    <w:rsid w:val="00684C48"/>
    <w:rsid w:val="00693D7A"/>
    <w:rsid w:val="00697A3A"/>
    <w:rsid w:val="006A3F32"/>
    <w:rsid w:val="006A48D3"/>
    <w:rsid w:val="006A75D4"/>
    <w:rsid w:val="006A7DB9"/>
    <w:rsid w:val="006C260A"/>
    <w:rsid w:val="006D0BC5"/>
    <w:rsid w:val="006D2977"/>
    <w:rsid w:val="006E05AE"/>
    <w:rsid w:val="006E461B"/>
    <w:rsid w:val="0071240E"/>
    <w:rsid w:val="0071271C"/>
    <w:rsid w:val="0071397B"/>
    <w:rsid w:val="007207AF"/>
    <w:rsid w:val="00721B9E"/>
    <w:rsid w:val="00724C72"/>
    <w:rsid w:val="00741EB9"/>
    <w:rsid w:val="007450BE"/>
    <w:rsid w:val="0074548F"/>
    <w:rsid w:val="00747CC2"/>
    <w:rsid w:val="007532A0"/>
    <w:rsid w:val="00774066"/>
    <w:rsid w:val="007818E9"/>
    <w:rsid w:val="00782908"/>
    <w:rsid w:val="00783177"/>
    <w:rsid w:val="0078572A"/>
    <w:rsid w:val="007867F5"/>
    <w:rsid w:val="00791CE9"/>
    <w:rsid w:val="00792F89"/>
    <w:rsid w:val="007C2E05"/>
    <w:rsid w:val="007D341C"/>
    <w:rsid w:val="007D4B8F"/>
    <w:rsid w:val="007D52F5"/>
    <w:rsid w:val="007E31F0"/>
    <w:rsid w:val="007E6F1F"/>
    <w:rsid w:val="007F05A0"/>
    <w:rsid w:val="007F4B5B"/>
    <w:rsid w:val="00802593"/>
    <w:rsid w:val="0080306D"/>
    <w:rsid w:val="00825ACD"/>
    <w:rsid w:val="008260B6"/>
    <w:rsid w:val="00837B16"/>
    <w:rsid w:val="00840B50"/>
    <w:rsid w:val="00841D9B"/>
    <w:rsid w:val="00845C52"/>
    <w:rsid w:val="008468F7"/>
    <w:rsid w:val="00855732"/>
    <w:rsid w:val="008632AA"/>
    <w:rsid w:val="00863D94"/>
    <w:rsid w:val="00866515"/>
    <w:rsid w:val="00873E12"/>
    <w:rsid w:val="008748EC"/>
    <w:rsid w:val="008823B0"/>
    <w:rsid w:val="0089144F"/>
    <w:rsid w:val="0089206F"/>
    <w:rsid w:val="0089388B"/>
    <w:rsid w:val="008A0F53"/>
    <w:rsid w:val="008A60CE"/>
    <w:rsid w:val="008A7FD8"/>
    <w:rsid w:val="008B520B"/>
    <w:rsid w:val="008C37C5"/>
    <w:rsid w:val="008D305A"/>
    <w:rsid w:val="008D40CD"/>
    <w:rsid w:val="008D430D"/>
    <w:rsid w:val="008E0C36"/>
    <w:rsid w:val="008E444F"/>
    <w:rsid w:val="008F25E8"/>
    <w:rsid w:val="00910218"/>
    <w:rsid w:val="00913D04"/>
    <w:rsid w:val="009145DC"/>
    <w:rsid w:val="00914E7F"/>
    <w:rsid w:val="00926FCA"/>
    <w:rsid w:val="00930DB8"/>
    <w:rsid w:val="00930EA4"/>
    <w:rsid w:val="00934FBC"/>
    <w:rsid w:val="00937FB8"/>
    <w:rsid w:val="00943376"/>
    <w:rsid w:val="009863F6"/>
    <w:rsid w:val="009A43FE"/>
    <w:rsid w:val="009B5ED7"/>
    <w:rsid w:val="009C7FD6"/>
    <w:rsid w:val="009D0940"/>
    <w:rsid w:val="009D72B0"/>
    <w:rsid w:val="009E2647"/>
    <w:rsid w:val="009E5F95"/>
    <w:rsid w:val="009E762F"/>
    <w:rsid w:val="009E7C36"/>
    <w:rsid w:val="009F067A"/>
    <w:rsid w:val="009F173D"/>
    <w:rsid w:val="009F3722"/>
    <w:rsid w:val="009F69CF"/>
    <w:rsid w:val="009F7ECB"/>
    <w:rsid w:val="00A027DF"/>
    <w:rsid w:val="00A057F9"/>
    <w:rsid w:val="00A11AB1"/>
    <w:rsid w:val="00A14673"/>
    <w:rsid w:val="00A16CD3"/>
    <w:rsid w:val="00A22783"/>
    <w:rsid w:val="00A25DE1"/>
    <w:rsid w:val="00A27031"/>
    <w:rsid w:val="00A2786B"/>
    <w:rsid w:val="00A3051A"/>
    <w:rsid w:val="00A339CB"/>
    <w:rsid w:val="00A358C6"/>
    <w:rsid w:val="00A471D5"/>
    <w:rsid w:val="00A473B5"/>
    <w:rsid w:val="00A74327"/>
    <w:rsid w:val="00A80ED0"/>
    <w:rsid w:val="00AD6A39"/>
    <w:rsid w:val="00AE75F6"/>
    <w:rsid w:val="00AE7638"/>
    <w:rsid w:val="00AF6953"/>
    <w:rsid w:val="00B063EB"/>
    <w:rsid w:val="00B10904"/>
    <w:rsid w:val="00B1259A"/>
    <w:rsid w:val="00B137C4"/>
    <w:rsid w:val="00B31846"/>
    <w:rsid w:val="00B415F1"/>
    <w:rsid w:val="00B4231C"/>
    <w:rsid w:val="00B52CE4"/>
    <w:rsid w:val="00B56896"/>
    <w:rsid w:val="00B63D0C"/>
    <w:rsid w:val="00B64CEB"/>
    <w:rsid w:val="00B662EC"/>
    <w:rsid w:val="00B8327F"/>
    <w:rsid w:val="00B84DE5"/>
    <w:rsid w:val="00B84E7A"/>
    <w:rsid w:val="00B939A7"/>
    <w:rsid w:val="00BA2DF9"/>
    <w:rsid w:val="00BA3EAA"/>
    <w:rsid w:val="00BA588F"/>
    <w:rsid w:val="00BA7362"/>
    <w:rsid w:val="00BA7CAD"/>
    <w:rsid w:val="00BB575F"/>
    <w:rsid w:val="00BB772A"/>
    <w:rsid w:val="00BB7E9C"/>
    <w:rsid w:val="00BC7FF5"/>
    <w:rsid w:val="00BD216F"/>
    <w:rsid w:val="00BD2C6B"/>
    <w:rsid w:val="00BE48A9"/>
    <w:rsid w:val="00C0082D"/>
    <w:rsid w:val="00C02F08"/>
    <w:rsid w:val="00C03D57"/>
    <w:rsid w:val="00C2194B"/>
    <w:rsid w:val="00C3261D"/>
    <w:rsid w:val="00C3693A"/>
    <w:rsid w:val="00C42A9A"/>
    <w:rsid w:val="00C45C1D"/>
    <w:rsid w:val="00C46263"/>
    <w:rsid w:val="00C51392"/>
    <w:rsid w:val="00C56B69"/>
    <w:rsid w:val="00C61EC3"/>
    <w:rsid w:val="00C63430"/>
    <w:rsid w:val="00C64E4D"/>
    <w:rsid w:val="00C679C4"/>
    <w:rsid w:val="00C67FFA"/>
    <w:rsid w:val="00C762F6"/>
    <w:rsid w:val="00C8055C"/>
    <w:rsid w:val="00C83307"/>
    <w:rsid w:val="00C912B6"/>
    <w:rsid w:val="00C919D6"/>
    <w:rsid w:val="00CA177E"/>
    <w:rsid w:val="00CA30EB"/>
    <w:rsid w:val="00CD2938"/>
    <w:rsid w:val="00CE00BF"/>
    <w:rsid w:val="00CE4537"/>
    <w:rsid w:val="00CE5F1D"/>
    <w:rsid w:val="00CF47C2"/>
    <w:rsid w:val="00CF6DF1"/>
    <w:rsid w:val="00D019A8"/>
    <w:rsid w:val="00D021B4"/>
    <w:rsid w:val="00D056A8"/>
    <w:rsid w:val="00D0767E"/>
    <w:rsid w:val="00D22240"/>
    <w:rsid w:val="00D24AA5"/>
    <w:rsid w:val="00D338F3"/>
    <w:rsid w:val="00D40823"/>
    <w:rsid w:val="00D450F6"/>
    <w:rsid w:val="00D52448"/>
    <w:rsid w:val="00D60373"/>
    <w:rsid w:val="00D647D1"/>
    <w:rsid w:val="00D64B7B"/>
    <w:rsid w:val="00D668FD"/>
    <w:rsid w:val="00D70E47"/>
    <w:rsid w:val="00D82187"/>
    <w:rsid w:val="00D90CEC"/>
    <w:rsid w:val="00DA0141"/>
    <w:rsid w:val="00DA38E8"/>
    <w:rsid w:val="00DA43BC"/>
    <w:rsid w:val="00DA6193"/>
    <w:rsid w:val="00DA6412"/>
    <w:rsid w:val="00DA7270"/>
    <w:rsid w:val="00DC24E9"/>
    <w:rsid w:val="00DF2576"/>
    <w:rsid w:val="00DF3BAE"/>
    <w:rsid w:val="00DF55F0"/>
    <w:rsid w:val="00E00758"/>
    <w:rsid w:val="00E0540E"/>
    <w:rsid w:val="00E14550"/>
    <w:rsid w:val="00E17213"/>
    <w:rsid w:val="00E17754"/>
    <w:rsid w:val="00E177F7"/>
    <w:rsid w:val="00E20124"/>
    <w:rsid w:val="00E21140"/>
    <w:rsid w:val="00E3373A"/>
    <w:rsid w:val="00E46A2B"/>
    <w:rsid w:val="00E53E61"/>
    <w:rsid w:val="00E556B3"/>
    <w:rsid w:val="00E56749"/>
    <w:rsid w:val="00E63147"/>
    <w:rsid w:val="00E81A40"/>
    <w:rsid w:val="00E81C8D"/>
    <w:rsid w:val="00E85331"/>
    <w:rsid w:val="00E9017C"/>
    <w:rsid w:val="00E90A0D"/>
    <w:rsid w:val="00E96781"/>
    <w:rsid w:val="00E974E9"/>
    <w:rsid w:val="00EA48C0"/>
    <w:rsid w:val="00EA7819"/>
    <w:rsid w:val="00EB2F5F"/>
    <w:rsid w:val="00EB4BC4"/>
    <w:rsid w:val="00EB7B89"/>
    <w:rsid w:val="00EC3BD8"/>
    <w:rsid w:val="00ED7671"/>
    <w:rsid w:val="00EE3DEA"/>
    <w:rsid w:val="00EE69EE"/>
    <w:rsid w:val="00F0089E"/>
    <w:rsid w:val="00F04923"/>
    <w:rsid w:val="00F307CB"/>
    <w:rsid w:val="00F449DE"/>
    <w:rsid w:val="00F535AA"/>
    <w:rsid w:val="00F70AD1"/>
    <w:rsid w:val="00F75726"/>
    <w:rsid w:val="00F7765B"/>
    <w:rsid w:val="00F77772"/>
    <w:rsid w:val="00F822B7"/>
    <w:rsid w:val="00F84597"/>
    <w:rsid w:val="00F860CC"/>
    <w:rsid w:val="00F92763"/>
    <w:rsid w:val="00FB2AE7"/>
    <w:rsid w:val="00FB3B14"/>
    <w:rsid w:val="00FC583C"/>
    <w:rsid w:val="00FE4006"/>
    <w:rsid w:val="00FE524C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5C71"/>
  <w15:docId w15:val="{7035CE58-F6F6-45F6-8F6F-16B6783A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E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E35D8"/>
    <w:pPr>
      <w:keepNext/>
      <w:widowControl w:val="0"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41EB9"/>
    <w:rPr>
      <w:rFonts w:ascii="Times New Roman" w:eastAsia="Times New Roman" w:hAnsi="Times New Roman"/>
    </w:rPr>
  </w:style>
  <w:style w:type="character" w:styleId="a3">
    <w:name w:val="annotation reference"/>
    <w:semiHidden/>
    <w:rsid w:val="00741EB9"/>
    <w:rPr>
      <w:sz w:val="16"/>
      <w:szCs w:val="16"/>
    </w:rPr>
  </w:style>
  <w:style w:type="paragraph" w:styleId="a4">
    <w:name w:val="annotation text"/>
    <w:basedOn w:val="a"/>
    <w:link w:val="a5"/>
    <w:semiHidden/>
    <w:rsid w:val="00741EB9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4"/>
    <w:semiHidden/>
    <w:rsid w:val="00741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1E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41EB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064E6"/>
    <w:pPr>
      <w:spacing w:line="240" w:lineRule="auto"/>
      <w:ind w:left="720"/>
      <w:contextualSpacing/>
      <w:jc w:val="both"/>
    </w:pPr>
    <w:rPr>
      <w:rFonts w:eastAsia="Times New Roman"/>
      <w:sz w:val="24"/>
      <w:szCs w:val="24"/>
      <w:lang w:eastAsia="ja-JP"/>
    </w:rPr>
  </w:style>
  <w:style w:type="character" w:customStyle="1" w:styleId="10">
    <w:name w:val="Заголовок 1 Знак"/>
    <w:link w:val="1"/>
    <w:rsid w:val="004E35D8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20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0124"/>
  </w:style>
  <w:style w:type="paragraph" w:styleId="ab">
    <w:name w:val="footer"/>
    <w:basedOn w:val="a"/>
    <w:link w:val="ac"/>
    <w:uiPriority w:val="99"/>
    <w:unhideWhenUsed/>
    <w:rsid w:val="00E20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0124"/>
  </w:style>
  <w:style w:type="table" w:styleId="ad">
    <w:name w:val="Table Grid"/>
    <w:basedOn w:val="a1"/>
    <w:uiPriority w:val="59"/>
    <w:rsid w:val="00145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9D0940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9D0940"/>
    <w:rPr>
      <w:lang w:eastAsia="en-US"/>
    </w:rPr>
  </w:style>
  <w:style w:type="character" w:styleId="af0">
    <w:name w:val="footnote reference"/>
    <w:uiPriority w:val="99"/>
    <w:semiHidden/>
    <w:unhideWhenUsed/>
    <w:rsid w:val="009D0940"/>
    <w:rPr>
      <w:vertAlign w:val="superscript"/>
    </w:rPr>
  </w:style>
  <w:style w:type="paragraph" w:styleId="2">
    <w:name w:val="Body Text Indent 2"/>
    <w:basedOn w:val="a"/>
    <w:link w:val="20"/>
    <w:rsid w:val="009D0940"/>
    <w:pPr>
      <w:widowControl w:val="0"/>
      <w:spacing w:after="0" w:line="240" w:lineRule="exact"/>
      <w:ind w:right="480" w:firstLine="800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20">
    <w:name w:val="Основной текст с отступом 2 Знак"/>
    <w:link w:val="2"/>
    <w:rsid w:val="009D0940"/>
    <w:rPr>
      <w:rFonts w:ascii="Arial" w:eastAsia="Times New Roman" w:hAnsi="Arial"/>
      <w:snapToGrid/>
      <w:sz w:val="24"/>
    </w:rPr>
  </w:style>
  <w:style w:type="paragraph" w:styleId="af1">
    <w:name w:val="Body Text"/>
    <w:basedOn w:val="a"/>
    <w:link w:val="af2"/>
    <w:uiPriority w:val="99"/>
    <w:unhideWhenUsed/>
    <w:rsid w:val="005B527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5B5274"/>
    <w:rPr>
      <w:sz w:val="22"/>
      <w:szCs w:val="22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C3693A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3693A"/>
    <w:rPr>
      <w:lang w:eastAsia="en-US"/>
    </w:rPr>
  </w:style>
  <w:style w:type="character" w:styleId="af5">
    <w:name w:val="endnote reference"/>
    <w:basedOn w:val="a0"/>
    <w:uiPriority w:val="99"/>
    <w:semiHidden/>
    <w:unhideWhenUsed/>
    <w:rsid w:val="00C3693A"/>
    <w:rPr>
      <w:vertAlign w:val="superscript"/>
    </w:rPr>
  </w:style>
  <w:style w:type="paragraph" w:styleId="af6">
    <w:name w:val="annotation subject"/>
    <w:basedOn w:val="a4"/>
    <w:next w:val="a4"/>
    <w:link w:val="af7"/>
    <w:uiPriority w:val="99"/>
    <w:semiHidden/>
    <w:unhideWhenUsed/>
    <w:rsid w:val="00CF47C2"/>
    <w:pPr>
      <w:spacing w:before="0"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7">
    <w:name w:val="Тема примечания Знак"/>
    <w:basedOn w:val="a5"/>
    <w:link w:val="af6"/>
    <w:uiPriority w:val="99"/>
    <w:semiHidden/>
    <w:rsid w:val="00CF47C2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af8">
    <w:name w:val="Revision"/>
    <w:hidden/>
    <w:uiPriority w:val="99"/>
    <w:semiHidden/>
    <w:rsid w:val="00037171"/>
    <w:rPr>
      <w:sz w:val="22"/>
      <w:szCs w:val="22"/>
      <w:lang w:eastAsia="en-US"/>
    </w:rPr>
  </w:style>
  <w:style w:type="character" w:styleId="af9">
    <w:name w:val="Emphasis"/>
    <w:basedOn w:val="a0"/>
    <w:uiPriority w:val="20"/>
    <w:qFormat/>
    <w:rsid w:val="00312117"/>
    <w:rPr>
      <w:i/>
      <w:iCs/>
    </w:rPr>
  </w:style>
  <w:style w:type="table" w:customStyle="1" w:styleId="6">
    <w:name w:val="Сетка таблицы6"/>
    <w:basedOn w:val="a1"/>
    <w:next w:val="ad"/>
    <w:uiPriority w:val="39"/>
    <w:rsid w:val="003121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A47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19FEC-DB3B-4A85-BDCB-E9BA4C1A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Links>
    <vt:vector size="6" baseType="variant">
      <vt:variant>
        <vt:i4>5439562</vt:i4>
      </vt:variant>
      <vt:variant>
        <vt:i4>111</vt:i4>
      </vt:variant>
      <vt:variant>
        <vt:i4>0</vt:i4>
      </vt:variant>
      <vt:variant>
        <vt:i4>5</vt:i4>
      </vt:variant>
      <vt:variant>
        <vt:lpwstr>http://www.dabsystems.ru/maincontent/backoffice.html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Kassymkhan</dc:creator>
  <cp:lastModifiedBy>Evgeny Rykunov</cp:lastModifiedBy>
  <cp:revision>10</cp:revision>
  <dcterms:created xsi:type="dcterms:W3CDTF">2026-04-29T15:17:00Z</dcterms:created>
  <dcterms:modified xsi:type="dcterms:W3CDTF">2026-04-30T13:40:00Z</dcterms:modified>
</cp:coreProperties>
</file>